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="00F825A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физических лиц</w:t>
      </w:r>
    </w:p>
    <w:p w:rsidR="00BD07C4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Уважаемые акционеры </w:t>
      </w:r>
      <w:r w:rsidR="0058379A">
        <w:rPr>
          <w:rStyle w:val="fontstyle01"/>
          <w:rFonts w:ascii="Times New Roman" w:hAnsi="Times New Roman" w:cs="Times New Roman"/>
          <w:sz w:val="20"/>
          <w:szCs w:val="20"/>
        </w:rPr>
        <w:t>АО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 «Уралхиммаш»!</w:t>
      </w:r>
    </w:p>
    <w:p w:rsidR="00B85D44" w:rsidRPr="00207DCB" w:rsidRDefault="00BD07C4" w:rsidP="00B85D4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>На основании абз</w:t>
      </w:r>
      <w:r w:rsidR="00207DCB" w:rsidRPr="00207DCB">
        <w:rPr>
          <w:rFonts w:ascii="Times New Roman" w:hAnsi="Times New Roman" w:cs="Times New Roman"/>
          <w:sz w:val="20"/>
          <w:szCs w:val="20"/>
        </w:rPr>
        <w:t>.</w:t>
      </w:r>
      <w:r w:rsidRPr="00207DCB">
        <w:rPr>
          <w:rFonts w:ascii="Times New Roman" w:hAnsi="Times New Roman" w:cs="Times New Roman"/>
          <w:sz w:val="20"/>
          <w:szCs w:val="20"/>
        </w:rPr>
        <w:t xml:space="preserve">3 п.1 ст.226 НК РФ, с дохода от продажи ценных бумаг, выплачиваемого физическому лицу, </w:t>
      </w:r>
      <w:r w:rsidR="0058379A">
        <w:rPr>
          <w:rFonts w:ascii="Times New Roman" w:hAnsi="Times New Roman" w:cs="Times New Roman"/>
          <w:sz w:val="20"/>
          <w:szCs w:val="20"/>
        </w:rPr>
        <w:t>АО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«Уралхиммаш» будет исчислен, удержан и перечислен в бюджет Российской Федерации налог на доходы физических лиц (НДФЛ) при нахождении указанных ценных бумаг в собственности менее 5 лет.</w:t>
      </w:r>
      <w:r w:rsidR="00207DCB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C53499">
        <w:rPr>
          <w:rFonts w:ascii="Times New Roman" w:hAnsi="Times New Roman" w:cs="Times New Roman"/>
          <w:sz w:val="20"/>
          <w:szCs w:val="20"/>
        </w:rPr>
        <w:t>Р</w:t>
      </w:r>
      <w:r w:rsidR="00B85D44" w:rsidRPr="00B85D44">
        <w:rPr>
          <w:rFonts w:ascii="Times New Roman" w:hAnsi="Times New Roman" w:cs="Times New Roman"/>
          <w:sz w:val="20"/>
          <w:szCs w:val="20"/>
        </w:rPr>
        <w:t>оссийские организации, осуществляющие выплаты по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договорам купли-продажи ценных бумаг, заключенным ими с налогоплательщиками, признаются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налоговыми агентами для целей НДФЛ в отношении операций по сделкам купли-продажи ценных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бумаг. Исключения установлены п. 2 ст. 226.1 НК РФ, согласно которому, помимо прочего, если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указанные операции осуществляются в интересах налогоплательщика доверительным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управляющим или брокером на основании договора доверительного управления, договора на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брокерское обслуживание, договора поручения, договора комиссии или агентского договора с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налогоплательщиком, то функции налогового агента возлагаются на такого доверительного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управляющего или брокера.</w:t>
      </w:r>
    </w:p>
    <w:p w:rsidR="00BD07C4" w:rsidRDefault="00BD07C4" w:rsidP="00BD07C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1) Вниманию акционеров, которым акции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 непрерывно принадлежали </w:t>
      </w:r>
      <w:r w:rsidR="00FC1A34" w:rsidRPr="00207DCB">
        <w:rPr>
          <w:rFonts w:ascii="Times New Roman" w:hAnsi="Times New Roman" w:cs="Times New Roman"/>
          <w:b/>
          <w:sz w:val="20"/>
          <w:szCs w:val="20"/>
        </w:rPr>
        <w:t>МЕНЕЕ 5</w:t>
      </w:r>
      <w:r w:rsidR="00FC1A34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 xml:space="preserve">НДФЛ удерживается в полном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размере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B15E78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НО при расчете налог может быть уменьшен при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документов, подтверждающих расходы, связанные с операциями по приобретению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акций, подлежащих выкупу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5E78" w:rsidRPr="00207DCB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При определении налоговой базы по НДФЛ по данной операции (выкуп акций)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r w:rsidRPr="00B15E78">
        <w:rPr>
          <w:rFonts w:ascii="Times New Roman" w:hAnsi="Times New Roman" w:cs="Times New Roman"/>
          <w:sz w:val="20"/>
          <w:szCs w:val="20"/>
        </w:rPr>
        <w:t>» на основании письменного заявления физического лица (составляется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свободной письменной форме, пример приведен в приложении 2) будут учтены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фактически осуществленные и документально подтвержденные расходы, которые связаны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 приобретением и хранением соответствующих ценных бумаг и которые физическое лицо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произвело без участия Общества. Перечень документов, подтверждающих такие расходы,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и предъявляемые к ним требования приведены в приложении 1. Расходы физического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 xml:space="preserve">будут учтены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«Уралхиммаш» при условии получения заявления и надлежащим образом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оформленных документов не позднее окончания срока предъявления требований о выкупе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акций. Указанные документы необходимо направить по почте по адресу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 xml:space="preserve"> «Уралхиммаш»: 620010, </w:t>
      </w:r>
      <w:r w:rsidR="003C412B">
        <w:rPr>
          <w:rFonts w:ascii="Times New Roman" w:hAnsi="Times New Roman" w:cs="Times New Roman"/>
          <w:sz w:val="20"/>
          <w:szCs w:val="20"/>
        </w:rPr>
        <w:br/>
      </w:r>
      <w:r w:rsidRPr="00B15E78">
        <w:rPr>
          <w:rFonts w:ascii="Times New Roman" w:hAnsi="Times New Roman" w:cs="Times New Roman"/>
          <w:sz w:val="20"/>
          <w:szCs w:val="20"/>
        </w:rPr>
        <w:t>г. Екатеринбург, пер. Хибиногорский, д.33 (с пометкой «для корпоративного отдела»)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C1A34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2) Вниманию акционеров, которым акции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 непрерывно принадлежали </w:t>
      </w:r>
      <w:r w:rsidRPr="00207DCB">
        <w:rPr>
          <w:rFonts w:ascii="Times New Roman" w:hAnsi="Times New Roman" w:cs="Times New Roman"/>
          <w:b/>
          <w:sz w:val="20"/>
          <w:szCs w:val="20"/>
        </w:rPr>
        <w:t>БОЛЕЕ 5</w:t>
      </w:r>
      <w:r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>НДФЛ НЕ удерживается</w:t>
      </w:r>
      <w:r w:rsidRPr="00207DCB">
        <w:rPr>
          <w:rFonts w:ascii="Times New Roman" w:hAnsi="Times New Roman" w:cs="Times New Roman"/>
          <w:sz w:val="20"/>
          <w:szCs w:val="20"/>
        </w:rPr>
        <w:t xml:space="preserve"> только при подтверждении самим акционером факта непрерывного владения акциями более 5 лет. 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В связи с тем, что согласно требованиям Федерального закона «Об акционерных обществах» ведение реестра акционеров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«Уралхиммаш» осуществляется Регистратором, Общество не располагает информацией о сроке непрерывного владения акционерами акций компании и при отсутствии подтверждающих документов будет обязано удержать налог на доходы физических лиц.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 в собственности более 5 лет акционеру, в случае учета ценных бумаг Регистратором, необходимо при подаче требования о выкупе ценных бумаг заполнить Запрос на предоставление информации (заявление о подготовке Регистратором и передаче Эмитенту справки о сроке владения ценными бумагами). Расходы, связанные с подготовкой Регистратором и передаче Эмитенту справки о сроке владения ценными бумагами </w:t>
      </w:r>
      <w:r w:rsidR="0058379A">
        <w:rPr>
          <w:rFonts w:ascii="Times New Roman" w:hAnsi="Times New Roman" w:cs="Times New Roman"/>
          <w:sz w:val="20"/>
          <w:szCs w:val="20"/>
        </w:rPr>
        <w:t>АО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«Уралхиммаш», нес</w:t>
      </w:r>
      <w:r w:rsidR="00FA7A3F">
        <w:rPr>
          <w:rFonts w:ascii="Times New Roman" w:hAnsi="Times New Roman" w:cs="Times New Roman"/>
          <w:sz w:val="20"/>
          <w:szCs w:val="20"/>
        </w:rPr>
        <w:t>е</w:t>
      </w:r>
      <w:r w:rsidRPr="00207DCB">
        <w:rPr>
          <w:rFonts w:ascii="Times New Roman" w:hAnsi="Times New Roman" w:cs="Times New Roman"/>
          <w:sz w:val="20"/>
          <w:szCs w:val="20"/>
        </w:rPr>
        <w:t xml:space="preserve">т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="00FA7A3F">
        <w:rPr>
          <w:rFonts w:ascii="Times New Roman" w:hAnsi="Times New Roman" w:cs="Times New Roman"/>
          <w:sz w:val="20"/>
          <w:szCs w:val="20"/>
        </w:rPr>
        <w:t>«Уралхиммаш»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«Уралхиммаш» в собственности более 5 лет акционеру, в случае учета ценных бумаг по счету депо номинального держателя, необходимо запросить у номинального держателя выписку, справку и т.д., подтверждающую факт непрерывного владения ценными бумагами более 5 лет, и направить полученные документы не позднее окончания срока предъявления требований о выкупе акций по адресу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«Уралхиммаш»: 620010, г. Екатеринбург, пер. Хибиногорский, д.33 (с пометкой «для </w:t>
      </w:r>
      <w:r w:rsidR="005C04CA" w:rsidRPr="00207DCB">
        <w:rPr>
          <w:rFonts w:ascii="Times New Roman" w:hAnsi="Times New Roman" w:cs="Times New Roman"/>
          <w:sz w:val="20"/>
          <w:szCs w:val="20"/>
        </w:rPr>
        <w:t>корпоративного отдела</w:t>
      </w:r>
      <w:r w:rsidRPr="00207DCB">
        <w:rPr>
          <w:rFonts w:ascii="Times New Roman" w:hAnsi="Times New Roman" w:cs="Times New Roman"/>
          <w:sz w:val="20"/>
          <w:szCs w:val="20"/>
        </w:rPr>
        <w:t>»)</w:t>
      </w:r>
      <w:r w:rsidR="005C04CA" w:rsidRPr="00207DCB">
        <w:rPr>
          <w:rFonts w:ascii="Times New Roman" w:hAnsi="Times New Roman" w:cs="Times New Roman"/>
          <w:sz w:val="20"/>
          <w:szCs w:val="20"/>
        </w:rPr>
        <w:t>.</w:t>
      </w:r>
    </w:p>
    <w:p w:rsidR="001B7F82" w:rsidRDefault="00B85D44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Если физическое лицо является налоговым резидентом Российской Федерации</w:t>
      </w:r>
      <w:r w:rsidRPr="00B85D44">
        <w:rPr>
          <w:rFonts w:ascii="Times New Roman" w:hAnsi="Times New Roman" w:cs="Times New Roman"/>
          <w:sz w:val="20"/>
          <w:szCs w:val="20"/>
        </w:rPr>
        <w:t>, доход от продажи акций будет облагаться по</w:t>
      </w:r>
      <w:r w:rsidR="007512C7">
        <w:rPr>
          <w:rFonts w:ascii="Times New Roman" w:hAnsi="Times New Roman" w:cs="Times New Roman"/>
          <w:sz w:val="20"/>
          <w:szCs w:val="20"/>
        </w:rPr>
        <w:t xml:space="preserve"> налоговой ставке в размере 13%,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2C7" w:rsidRPr="007512C7">
        <w:rPr>
          <w:rFonts w:ascii="Times New Roman" w:hAnsi="Times New Roman" w:cs="Times New Roman"/>
          <w:sz w:val="20"/>
          <w:szCs w:val="20"/>
        </w:rPr>
        <w:t>при нахождении указанных ценных бумаг в собственности менее 5 лет</w:t>
      </w:r>
      <w:r w:rsidR="007512C7">
        <w:rPr>
          <w:rFonts w:ascii="Times New Roman" w:hAnsi="Times New Roman" w:cs="Times New Roman"/>
          <w:sz w:val="20"/>
          <w:szCs w:val="20"/>
        </w:rPr>
        <w:t>.</w:t>
      </w:r>
      <w:r w:rsidR="007512C7" w:rsidRPr="007512C7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 xml:space="preserve">По общему правилу (п. 2 ст. 207 НК РФ), налоговыми резидентами </w:t>
      </w:r>
      <w:r w:rsidRPr="00B85D44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1B7F82" w:rsidRPr="001B7F82">
        <w:rPr>
          <w:rFonts w:ascii="Times New Roman" w:hAnsi="Times New Roman" w:cs="Times New Roman"/>
          <w:sz w:val="20"/>
          <w:szCs w:val="20"/>
        </w:rPr>
        <w:t>признаются физические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лица, фактически находящиеся в РФ не менее 183 календарных дней в течение 12 следующих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подряд месяцев.</w:t>
      </w:r>
    </w:p>
    <w:p w:rsidR="001B7F82" w:rsidRDefault="001B7F82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04CA" w:rsidRPr="00DE701B" w:rsidRDefault="005C04CA" w:rsidP="00207DC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 – налоговых резидентов иностранного государства.</w:t>
      </w:r>
    </w:p>
    <w:p w:rsidR="005C04CA" w:rsidRPr="00207DCB" w:rsidRDefault="005C04CA" w:rsidP="005C04C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При выплате дохода от продажи ценных бумаг, выплачиваемого физическому лицу – налоговому резиденту иностранного государства, с которым заключен международный договор Российской Федерации по вопросам налогообложения и предусмотрено полное или частичное освобождение от налогообложения в Российской Федерации, налог (НДФЛ) будет удержан в соответствии с правилами, предусмотренными таким международным </w:t>
      </w:r>
      <w:r w:rsidRPr="00207DCB">
        <w:rPr>
          <w:rFonts w:ascii="Times New Roman" w:hAnsi="Times New Roman" w:cs="Times New Roman"/>
          <w:sz w:val="20"/>
          <w:szCs w:val="20"/>
        </w:rPr>
        <w:lastRenderedPageBreak/>
        <w:t>договором Российской Федерации, при условии предоставления физическим лицом не позднее окончания срока предъявления требований о выкупе акций документов, предусмотренных п.6 ст.232 НК РФ.</w:t>
      </w:r>
    </w:p>
    <w:p w:rsidR="00DE701B" w:rsidRPr="00DE701B" w:rsidRDefault="00DE701B" w:rsidP="00DE701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лиц, осуществляющие предпринимательскую деятельность на территории РФ</w:t>
      </w:r>
    </w:p>
    <w:p w:rsidR="000F4C2A" w:rsidRDefault="00DE701B" w:rsidP="00DE70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</w:rPr>
        <w:t>В соответствии с пп.1 п.1 ст.227 НК РФ физические лица, осуществляющие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предпринимательскую деятельность на территории РФ на основании свидетельства о постановке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на учет в качестве индивидуального предпринимателя, самостоятельно исчисляют и уплачивают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НДФЛ исходя из сумм доходов, полученных от осуществления такой деятельности. При этом,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однако, в соответствии с положениями Федерального закона от 22 апреля 1996 г. № 39-ФЗ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рынке ценных бумаг» осуществлять профессиональную деятельность в качестве участника рынка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ценных бумаг, за исключением деятельности по инвестиционному консультированию, могут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только юридические лица.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В этой связи независимо от зарегистрированных видов деятельности индивидуального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предпринимателя в отношении доходов от операций, в отношении физического лица-Акционера,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являющегося индивидуальным предпринимателем, применяется общий порядок исчисления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уплаты НДФЛ с доходов от операций с ценными бумагами, установленный статьями 226 и 226.1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НК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8675B" w:rsidRPr="00207DCB" w:rsidRDefault="00B8675B" w:rsidP="00DE70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953D7" w:rsidRDefault="00E953D7" w:rsidP="00E953D7">
      <w:pPr>
        <w:pageBreakBefore/>
        <w:ind w:firstLine="567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1</w:t>
      </w:r>
    </w:p>
    <w:p w:rsidR="000F4C2A" w:rsidRPr="00207DCB" w:rsidRDefault="000F4C2A" w:rsidP="00E953D7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Примерный перечень документов, подтверждающих фактически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осуществленные и документально подтвержденные расходы, которые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связаны с приобретением и хранением ценных бумаг, предоставляемых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физическими лицами</w:t>
      </w:r>
    </w:p>
    <w:p w:rsidR="000F4C2A" w:rsidRPr="00207DCB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Подтверждение налогового </w:t>
      </w:r>
      <w:proofErr w:type="spellStart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резидентства</w:t>
      </w:r>
      <w:proofErr w:type="spellEnd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физического лица: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1) Нотариальная копия паспорта РФ/иностранного государства;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2) Нотариальная копия паспорта или его аналога с отметками о пересечении / непересечении границы РФ или сертификат/справка, выданная налоговым органом иностранного государства. </w:t>
      </w:r>
    </w:p>
    <w:p w:rsidR="005C04C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Если физическое лицо является резидентом государства, с которым РФ заключено соглашение об избежании двойного налогообложения в отношении налога на доходы, предусматривающее полное освобождение от налогообложения дохода от продажи ценных бумаг, то предоставление указанных ниже документов не требуется.</w:t>
      </w:r>
    </w:p>
    <w:p w:rsidR="000F4C2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53D7" w:rsidRPr="00E953D7" w:rsidRDefault="00E953D7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Оригиналы или нотариальные копии документов, на основании которых физическое лицо произвело соответствующие расходы: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1) Договоры купли-продажи ценных бумаг (или иных договоры, на основании которых физическое лицо приобрело ценные бумаги), - в случае если физическое лицо самостоятельно приобрело ценные бумаги;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2) Платежные документы (в т. ч. квитанции к приходному кассовому ордеру, квитанции банка, расписки покупателя о получении денег, справка из бухгалтерии об удержании стоимости акций организации из зарплаты сотрудника и т.д.);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3) Выписки банка;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4) Договора мены, если акции получены в обмен на долю в уставном капитале;</w:t>
      </w:r>
    </w:p>
    <w:p w:rsid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5) Документы, подтверждающие факт уплаты НДФЛ при приобретении ЦБ.</w:t>
      </w:r>
    </w:p>
    <w:p w:rsidR="00AE4665" w:rsidRDefault="00AE4665" w:rsidP="00E953D7">
      <w:pPr>
        <w:tabs>
          <w:tab w:val="left" w:pos="284"/>
          <w:tab w:val="left" w:pos="993"/>
        </w:tabs>
        <w:spacing w:after="0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4665" w:rsidRPr="00AE4665" w:rsidRDefault="00AE4665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Документы, подтверждающие факт перехода налогоплательщику прав по</w:t>
      </w: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соответствующим ценным бумагам, факт и сумму оплаты соответствующих расходов.</w:t>
      </w:r>
    </w:p>
    <w:p w:rsid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AE4665">
        <w:rPr>
          <w:rFonts w:ascii="Times New Roman" w:hAnsi="Times New Roman" w:cs="Times New Roman"/>
          <w:color w:val="000000"/>
          <w:sz w:val="20"/>
          <w:szCs w:val="24"/>
        </w:rPr>
        <w:t>Документом, подтверждающим переход прав по ценным бумагам, является выписка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по счету депо или выписка из системы ведения реестра владельцев ценных бумаг.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Указанные документы должны быть составлены за весь период владения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налогоплательщиками ценными бумагами начиная с даты зачисления ценных бумаг на счет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депо или внесения в реестр записи о переходе к налогоплательщику прав собственности 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ценные бумаги до даты их принятия к учету налоговым агентом</w:t>
      </w:r>
      <w:r w:rsidRPr="00AE4665">
        <w:rPr>
          <w:rFonts w:ascii="Times New Roman" w:hAnsi="Times New Roman" w:cs="Times New Roman"/>
          <w:i/>
          <w:iCs/>
          <w:color w:val="000000"/>
          <w:sz w:val="20"/>
          <w:szCs w:val="24"/>
        </w:rPr>
        <w:t>.</w:t>
      </w:r>
    </w:p>
    <w:p w:rsidR="00AE4665" w:rsidRP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</w:p>
    <w:p w:rsidR="000F4C2A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 согласно приложению 3.</w:t>
      </w:r>
    </w:p>
    <w:p w:rsidR="00EE1E0A" w:rsidRDefault="00EE1E0A" w:rsidP="00EE1E0A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1E0A" w:rsidRDefault="00EE1E0A" w:rsidP="00EE1E0A">
      <w:pPr>
        <w:pageBreakBefore/>
        <w:tabs>
          <w:tab w:val="left" w:pos="284"/>
          <w:tab w:val="left" w:pos="993"/>
        </w:tabs>
        <w:jc w:val="right"/>
        <w:rPr>
          <w:rFonts w:ascii="TimesNewRomanPS-BoldMT" w:hAnsi="TimesNewRomanPS-BoldMT"/>
          <w:b/>
          <w:bCs/>
          <w:color w:val="000000"/>
        </w:rPr>
      </w:pPr>
      <w:r w:rsidRPr="00EE1E0A">
        <w:rPr>
          <w:rFonts w:ascii="TimesNewRomanPS-BoldMT" w:hAnsi="TimesNewRomanPS-BoldMT"/>
          <w:b/>
          <w:bCs/>
          <w:color w:val="000000"/>
        </w:rPr>
        <w:lastRenderedPageBreak/>
        <w:t>Приложение 2</w:t>
      </w: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EE1E0A" w:rsidTr="00EE1E0A">
        <w:tc>
          <w:tcPr>
            <w:tcW w:w="5382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1E0A">
              <w:rPr>
                <w:rFonts w:ascii="TimesNewRomanPSMT" w:hAnsi="TimesNewRomanPSMT"/>
                <w:color w:val="000000"/>
              </w:rPr>
              <w:t xml:space="preserve">в </w:t>
            </w:r>
            <w:r w:rsidR="0058379A">
              <w:rPr>
                <w:rFonts w:ascii="TimesNewRomanPSMT" w:hAnsi="TimesNewRomanPSMT"/>
                <w:color w:val="000000"/>
              </w:rPr>
              <w:t xml:space="preserve">АО </w:t>
            </w:r>
            <w:r w:rsidRPr="00EE1E0A">
              <w:rPr>
                <w:rFonts w:ascii="TimesNewRomanPSMT" w:hAnsi="TimesNewRomanPSMT"/>
                <w:color w:val="000000"/>
              </w:rPr>
              <w:t xml:space="preserve"> «</w:t>
            </w:r>
            <w:r>
              <w:rPr>
                <w:rFonts w:ascii="TimesNewRomanPSMT" w:hAnsi="TimesNewRomanPSMT"/>
                <w:color w:val="000000"/>
              </w:rPr>
              <w:t>Уралхиммаш</w:t>
            </w:r>
            <w:r w:rsidRPr="00EE1E0A">
              <w:rPr>
                <w:rFonts w:ascii="TimesNewRomanPSMT" w:hAnsi="TimesNewRomanPSMT"/>
                <w:color w:val="000000"/>
              </w:rPr>
              <w:t>»</w:t>
            </w:r>
            <w:r w:rsidRPr="00EE1E0A">
              <w:rPr>
                <w:rFonts w:ascii="TimesNewRomanPSMT" w:hAnsi="TimesNewRomanPSMT"/>
                <w:color w:val="000000"/>
              </w:rPr>
              <w:br/>
              <w:t>от ______________________________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 xml:space="preserve">                     (ФИО полностью)</w:t>
            </w:r>
            <w:r w:rsidRPr="00EE1E0A">
              <w:rPr>
                <w:rFonts w:ascii="TimesNewRomanPSMT" w:hAnsi="TimesNewRomanPSMT"/>
                <w:color w:val="000000"/>
              </w:rPr>
              <w:br/>
              <w:t>паспорт 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 xml:space="preserve">                       (серия и номер)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br/>
            </w:r>
            <w:r w:rsidRPr="00EE1E0A">
              <w:rPr>
                <w:rFonts w:ascii="TimesNewRomanPSMT" w:hAnsi="TimesNewRomanPSMT"/>
                <w:color w:val="000000"/>
              </w:rPr>
              <w:t>выдан ___________________________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        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>(дата выдачи и наименование выдавшего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br/>
              <w:t>органа)</w:t>
            </w:r>
            <w:r w:rsidRPr="00EE1E0A">
              <w:rPr>
                <w:rFonts w:ascii="TimesNewRomanPSMT" w:hAnsi="TimesNewRomanPSMT"/>
                <w:color w:val="000000"/>
              </w:rPr>
              <w:br/>
              <w:t>ИНН ___________________________</w:t>
            </w:r>
          </w:p>
        </w:tc>
      </w:tr>
    </w:tbl>
    <w:p w:rsidR="00B92B27" w:rsidRPr="00B92B27" w:rsidRDefault="00EE1E0A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1E0A">
        <w:rPr>
          <w:rFonts w:ascii="TimesNewRomanPS-BoldMT" w:hAnsi="TimesNewRomanPS-BoldMT"/>
          <w:b/>
          <w:bCs/>
          <w:color w:val="000000"/>
        </w:rPr>
        <w:br/>
      </w:r>
      <w:r w:rsidR="00B92B27"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НА УЧЕТ ФАКТИЧЕСКИХ РАСХОДОВ НА ПРИОБРЕТЕНИЕ</w:t>
      </w:r>
    </w:p>
    <w:p w:rsidR="00EE1E0A" w:rsidRDefault="00B92B27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(И ХРАНЕНИЕ) ЦЕННЫХ БУМАГ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Прошу учесть фактически произведенные расходы на приобретение (и хранение) ценных бумаг: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обыкновенн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именн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бездокументарн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акци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й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, государственный регистрационный номер 1-01-31352-D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/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привилегированн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именн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бездокументарн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акци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й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типа А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государственный регистрационный номер 2-01-31352-D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5837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АО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Уралхиммаш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(ОГРН 1026605781290, ИНН 6664013880, место нахождения: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620010, г. Екатеринбург, пер. Хибиногорский, д.33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), приобретенных ________________</w:t>
      </w:r>
      <w:r w:rsidRPr="00B92B2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(указать дату приобретения)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в соответствии с п.4 ст.226.1 НК РФ, на основании предоставленных документов: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на ____ л. в ____ экз.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B92B27" w:rsidRPr="00B92B27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«____» _______________ 20</w:t>
      </w:r>
      <w:r w:rsidR="00860400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_______________________ 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(подпись)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(ФИО)</w:t>
      </w:r>
    </w:p>
    <w:p w:rsidR="00B92B27" w:rsidRPr="00EE1E0A" w:rsidRDefault="00B92B27" w:rsidP="00B92B27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53D7" w:rsidRPr="00E953D7" w:rsidRDefault="00E953D7" w:rsidP="00E953D7">
      <w:pPr>
        <w:pageBreakBefore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DC7EFF" w:rsidRPr="00E953D7" w:rsidRDefault="00DC7EFF" w:rsidP="00E953D7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DC7EFF" w:rsidRPr="00DC7EFF" w:rsidRDefault="00DC7EFF" w:rsidP="00F825A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Я, __________________________________________ (указать фамилию, имя, отчество), паспорт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гражданина РФ серия _________ № _______________ выдан «___» _____________, ________________________________ (указать кем выдан паспорт), 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адресу: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___</w:t>
      </w:r>
      <w:r w:rsidR="00AC2CF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 по постоянному месту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жительства по паспорту)</w:t>
      </w:r>
    </w:p>
    <w:p w:rsidR="00DC7EFF" w:rsidRPr="00DC7EFF" w:rsidRDefault="00DC7EFF" w:rsidP="00F825A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 xml:space="preserve">В случае заполнения представителем: действующий на основании Доверенности № ____ от____ </w:t>
      </w:r>
      <w:proofErr w:type="spellStart"/>
      <w:r w:rsidR="00AC2CF4">
        <w:rPr>
          <w:rFonts w:ascii="Times New Roman" w:hAnsi="Times New Roman" w:cs="Times New Roman"/>
          <w:sz w:val="20"/>
          <w:szCs w:val="20"/>
        </w:rPr>
        <w:t>о</w:t>
      </w:r>
      <w:r w:rsidRPr="00DC7EFF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имени ___________________________________________ (указать фамилию, имя, отчество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представляемого лица), паспорт гражданина РФ серия _________ № _______________ выдан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«___»______________, __________________________</w:t>
      </w:r>
      <w:r w:rsidR="00AC2CF4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Pr="00DC7EFF">
        <w:rPr>
          <w:rFonts w:ascii="Times New Roman" w:hAnsi="Times New Roman" w:cs="Times New Roman"/>
          <w:sz w:val="20"/>
          <w:szCs w:val="20"/>
        </w:rPr>
        <w:t>(указать кем выдан паспорт)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 адресу:_____________________________</w:t>
      </w:r>
      <w:r w:rsidR="00AC2CF4">
        <w:rPr>
          <w:rFonts w:ascii="Times New Roman" w:hAnsi="Times New Roman" w:cs="Times New Roman"/>
          <w:sz w:val="20"/>
          <w:szCs w:val="20"/>
        </w:rPr>
        <w:t>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по постоянному месту жительства по паспорту)</w:t>
      </w:r>
    </w:p>
    <w:p w:rsidR="00DC7EFF" w:rsidRPr="00DC7EFF" w:rsidRDefault="00DC7EFF" w:rsidP="00F825A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выражаю </w:t>
      </w:r>
      <w:r w:rsidR="00AC2CF4">
        <w:rPr>
          <w:rFonts w:ascii="Times New Roman" w:hAnsi="Times New Roman" w:cs="Times New Roman"/>
          <w:sz w:val="20"/>
          <w:szCs w:val="20"/>
        </w:rPr>
        <w:br/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 xml:space="preserve">», зарегистрированному по адресу: </w:t>
      </w:r>
      <w:r w:rsidR="00AC2CF4" w:rsidRPr="00AC2CF4">
        <w:rPr>
          <w:rFonts w:ascii="Times New Roman" w:hAnsi="Times New Roman" w:cs="Times New Roman"/>
          <w:sz w:val="20"/>
          <w:szCs w:val="20"/>
        </w:rPr>
        <w:t>620010, г. Екатеринбург, пер. Хибиногорский, д.33</w:t>
      </w:r>
      <w:r w:rsidRPr="00DC7EFF">
        <w:rPr>
          <w:rFonts w:ascii="Times New Roman" w:hAnsi="Times New Roman" w:cs="Times New Roman"/>
          <w:sz w:val="20"/>
          <w:szCs w:val="20"/>
        </w:rPr>
        <w:t>, согласие в целях обработки моих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персональных данных, указанных в настоящем заявлении, приложениях к нему и необходимых для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 xml:space="preserve">» функций налогового агента при процедуре выкупа акций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AC2CF4" w:rsidRP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>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согласно ст. 75 Федерального закона «Об акционерных обществах».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как с использованием средств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автоматизации, в том числе в информационно-телекоммуникационных сетях, так и без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использования таких средств.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Согласие может быть отозвано в любое время на основании моего письменного заявления. В случае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отзыва настоящего Согласия </w:t>
      </w:r>
      <w:proofErr w:type="gramStart"/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AC2CF4" w:rsidRP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>» вправе обрабатывать мои персональные данные 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случаях и в порядке, предусмотренных Федеральным законом от 27.07.2006 № 152-ФЗ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«О персональных данных».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«___» __________________20</w:t>
      </w:r>
      <w:r w:rsidR="00AC2CF4">
        <w:rPr>
          <w:rFonts w:ascii="Times New Roman" w:hAnsi="Times New Roman" w:cs="Times New Roman"/>
          <w:sz w:val="20"/>
          <w:szCs w:val="20"/>
        </w:rPr>
        <w:t>__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_______________________________________/_________________________/</w:t>
      </w:r>
    </w:p>
    <w:p w:rsidR="00207DCB" w:rsidRPr="00207DCB" w:rsidRDefault="00AC2CF4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C7EFF" w:rsidRPr="00DC7EFF">
        <w:rPr>
          <w:rFonts w:ascii="Times New Roman" w:hAnsi="Times New Roman" w:cs="Times New Roman"/>
          <w:sz w:val="20"/>
          <w:szCs w:val="20"/>
        </w:rPr>
        <w:t>(подпись)</w:t>
      </w:r>
    </w:p>
    <w:sectPr w:rsidR="00207DCB" w:rsidRPr="00207DCB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1FE"/>
    <w:multiLevelType w:val="hybridMultilevel"/>
    <w:tmpl w:val="066A5D24"/>
    <w:lvl w:ilvl="0" w:tplc="927C1C2A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8"/>
    <w:rsid w:val="00006353"/>
    <w:rsid w:val="000B4010"/>
    <w:rsid w:val="000F2616"/>
    <w:rsid w:val="000F4C2A"/>
    <w:rsid w:val="001514B8"/>
    <w:rsid w:val="001B7F82"/>
    <w:rsid w:val="001D0E61"/>
    <w:rsid w:val="00207DCB"/>
    <w:rsid w:val="002A166F"/>
    <w:rsid w:val="002D3C08"/>
    <w:rsid w:val="002E1EEE"/>
    <w:rsid w:val="003C412B"/>
    <w:rsid w:val="004E2A62"/>
    <w:rsid w:val="004E5DBB"/>
    <w:rsid w:val="0058379A"/>
    <w:rsid w:val="005C04CA"/>
    <w:rsid w:val="007258EE"/>
    <w:rsid w:val="007512C7"/>
    <w:rsid w:val="00860400"/>
    <w:rsid w:val="009E172D"/>
    <w:rsid w:val="00AC2CF4"/>
    <w:rsid w:val="00AE4665"/>
    <w:rsid w:val="00B15E78"/>
    <w:rsid w:val="00B85D44"/>
    <w:rsid w:val="00B8675B"/>
    <w:rsid w:val="00B92B27"/>
    <w:rsid w:val="00BB7006"/>
    <w:rsid w:val="00BD07C4"/>
    <w:rsid w:val="00C53499"/>
    <w:rsid w:val="00C96A1D"/>
    <w:rsid w:val="00D2191F"/>
    <w:rsid w:val="00D40169"/>
    <w:rsid w:val="00DC7EFF"/>
    <w:rsid w:val="00DE701B"/>
    <w:rsid w:val="00E953D7"/>
    <w:rsid w:val="00EE1E0A"/>
    <w:rsid w:val="00F825A2"/>
    <w:rsid w:val="00FA7A3F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304D-935B-49E2-9F27-5F2692E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table" w:styleId="a4">
    <w:name w:val="Table Grid"/>
    <w:basedOn w:val="a1"/>
    <w:uiPriority w:val="39"/>
    <w:rsid w:val="00E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9931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Наталья Ивановна</dc:creator>
  <cp:keywords/>
  <dc:description/>
  <cp:lastModifiedBy>Билинская Диана Арпадовна</cp:lastModifiedBy>
  <cp:revision>2</cp:revision>
  <dcterms:created xsi:type="dcterms:W3CDTF">2024-12-04T06:13:00Z</dcterms:created>
  <dcterms:modified xsi:type="dcterms:W3CDTF">2024-12-04T06:13:00Z</dcterms:modified>
</cp:coreProperties>
</file>