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4D" w:rsidRPr="00D2164D" w:rsidRDefault="00D2164D" w:rsidP="00D216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Памятка акционерам АО «Центргаз»</w:t>
      </w:r>
    </w:p>
    <w:p w:rsidR="00D2164D" w:rsidRPr="00A6277D" w:rsidRDefault="00D2164D" w:rsidP="00D2164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277D">
        <w:rPr>
          <w:rFonts w:ascii="Times New Roman" w:hAnsi="Times New Roman" w:cs="Times New Roman"/>
          <w:b/>
          <w:bCs/>
        </w:rPr>
        <w:t>о праве требовать выкупа акций.</w:t>
      </w:r>
    </w:p>
    <w:p w:rsidR="00D2164D" w:rsidRPr="00A6277D" w:rsidRDefault="00D2164D" w:rsidP="00D216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164D" w:rsidRPr="005516C0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16C0">
        <w:rPr>
          <w:rFonts w:ascii="Times New Roman" w:hAnsi="Times New Roman" w:cs="Times New Roman"/>
        </w:rPr>
        <w:t xml:space="preserve">В связи с </w:t>
      </w:r>
      <w:r>
        <w:rPr>
          <w:rFonts w:ascii="Times New Roman" w:hAnsi="Times New Roman" w:cs="Times New Roman"/>
        </w:rPr>
        <w:t xml:space="preserve">рассмотрением </w:t>
      </w:r>
      <w:r w:rsidRPr="005516C0">
        <w:rPr>
          <w:rFonts w:ascii="Times New Roman" w:hAnsi="Times New Roman" w:cs="Times New Roman"/>
        </w:rPr>
        <w:t>внеочеред</w:t>
      </w:r>
      <w:r>
        <w:rPr>
          <w:rFonts w:ascii="Times New Roman" w:hAnsi="Times New Roman" w:cs="Times New Roman"/>
        </w:rPr>
        <w:t>ным Общим</w:t>
      </w:r>
      <w:r w:rsidRPr="005516C0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>ем</w:t>
      </w:r>
      <w:r w:rsidRPr="005516C0">
        <w:rPr>
          <w:rFonts w:ascii="Times New Roman" w:hAnsi="Times New Roman" w:cs="Times New Roman"/>
        </w:rPr>
        <w:t xml:space="preserve"> акционеров</w:t>
      </w:r>
      <w:r w:rsidR="00C7253B">
        <w:rPr>
          <w:rFonts w:ascii="Times New Roman" w:hAnsi="Times New Roman" w:cs="Times New Roman"/>
        </w:rPr>
        <w:t xml:space="preserve"> 16.09.2022 </w:t>
      </w:r>
      <w:r w:rsidRPr="005516C0">
        <w:rPr>
          <w:rFonts w:ascii="Times New Roman" w:hAnsi="Times New Roman" w:cs="Times New Roman"/>
        </w:rPr>
        <w:t>вопроса о реорганизации АО «Центргаз» (далее также Общество) в форме присоединения к нему ЗАО «</w:t>
      </w:r>
      <w:proofErr w:type="spellStart"/>
      <w:r w:rsidRPr="005516C0">
        <w:rPr>
          <w:rFonts w:ascii="Times New Roman" w:hAnsi="Times New Roman" w:cs="Times New Roman"/>
        </w:rPr>
        <w:t>Центргазтрой</w:t>
      </w:r>
      <w:proofErr w:type="spellEnd"/>
      <w:r w:rsidRPr="005516C0">
        <w:rPr>
          <w:rFonts w:ascii="Times New Roman" w:hAnsi="Times New Roman" w:cs="Times New Roman"/>
        </w:rPr>
        <w:t>», АО «</w:t>
      </w:r>
      <w:proofErr w:type="spellStart"/>
      <w:r w:rsidRPr="005516C0">
        <w:rPr>
          <w:rFonts w:ascii="Times New Roman" w:hAnsi="Times New Roman" w:cs="Times New Roman"/>
        </w:rPr>
        <w:t>Центргазмеханизация</w:t>
      </w:r>
      <w:proofErr w:type="spellEnd"/>
      <w:r w:rsidRPr="005516C0">
        <w:rPr>
          <w:rFonts w:ascii="Times New Roman" w:hAnsi="Times New Roman" w:cs="Times New Roman"/>
        </w:rPr>
        <w:t>», ЗАО «ПМК-1-Центргаз» владельцы голосующих</w:t>
      </w:r>
      <w:r>
        <w:rPr>
          <w:rFonts w:ascii="Times New Roman" w:hAnsi="Times New Roman" w:cs="Times New Roman"/>
        </w:rPr>
        <w:t xml:space="preserve"> акций Общества, которые не принимали</w:t>
      </w:r>
      <w:r w:rsidRPr="005516C0">
        <w:rPr>
          <w:rFonts w:ascii="Times New Roman" w:hAnsi="Times New Roman" w:cs="Times New Roman"/>
        </w:rPr>
        <w:t xml:space="preserve"> участия в голосовании на внеочередном Общем собрании акционеров </w:t>
      </w:r>
      <w:r w:rsidRPr="005516C0">
        <w:rPr>
          <w:rFonts w:ascii="Times New Roman" w:hAnsi="Times New Roman" w:cs="Times New Roman"/>
          <w:b/>
          <w:iCs/>
        </w:rPr>
        <w:t>«16» сентября 2022 г.</w:t>
      </w:r>
      <w:r w:rsidRPr="005516C0">
        <w:rPr>
          <w:rFonts w:ascii="Times New Roman" w:hAnsi="Times New Roman" w:cs="Times New Roman"/>
        </w:rPr>
        <w:t>, либо проголос</w:t>
      </w:r>
      <w:r>
        <w:rPr>
          <w:rFonts w:ascii="Times New Roman" w:hAnsi="Times New Roman" w:cs="Times New Roman"/>
        </w:rPr>
        <w:t>овали</w:t>
      </w:r>
      <w:r w:rsidRPr="005516C0">
        <w:rPr>
          <w:rFonts w:ascii="Times New Roman" w:hAnsi="Times New Roman" w:cs="Times New Roman"/>
        </w:rPr>
        <w:t xml:space="preserve"> «ПРОТИВ» принятия решения о реорганизации вправе потребовать у Общества выкупа всех или части принадлежащих им акций (далее – требование о выкупе акций) в порядке, предусмотренном </w:t>
      </w:r>
      <w:proofErr w:type="spellStart"/>
      <w:r w:rsidRPr="005516C0">
        <w:rPr>
          <w:rFonts w:ascii="Times New Roman" w:hAnsi="Times New Roman" w:cs="Times New Roman"/>
        </w:rPr>
        <w:t>ст.ст</w:t>
      </w:r>
      <w:proofErr w:type="spellEnd"/>
      <w:r w:rsidRPr="005516C0">
        <w:rPr>
          <w:rFonts w:ascii="Times New Roman" w:hAnsi="Times New Roman" w:cs="Times New Roman"/>
        </w:rPr>
        <w:t xml:space="preserve">. 75,76 Федерального закона № 208-ФЗ от 26.12.1995 «Об акционерных обществах» (далее – ФЗ «Об АО») . </w:t>
      </w:r>
    </w:p>
    <w:p w:rsidR="00D2164D" w:rsidRPr="005516C0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5516C0">
        <w:rPr>
          <w:rFonts w:ascii="Times New Roman" w:hAnsi="Times New Roman" w:cs="Times New Roman"/>
        </w:rPr>
        <w:t>Цена выкупа Обществом акций, в отношении которых будет заявлено требование, определена Советом директоров Общества (Протокол №116 от 02.08.2022 г.) на основании заключения оценщика о рыночной стоимости одной обыкновенной акции Общества (</w:t>
      </w:r>
      <w:bookmarkStart w:id="0" w:name="_Hlk109133002"/>
      <w:r w:rsidRPr="005516C0">
        <w:rPr>
          <w:rFonts w:ascii="Times New Roman" w:hAnsi="Times New Roman" w:cs="Times New Roman"/>
        </w:rPr>
        <w:t xml:space="preserve">отчет ООО «КГ </w:t>
      </w:r>
      <w:proofErr w:type="spellStart"/>
      <w:r w:rsidRPr="005516C0">
        <w:rPr>
          <w:rFonts w:ascii="Times New Roman" w:hAnsi="Times New Roman" w:cs="Times New Roman"/>
        </w:rPr>
        <w:t>Лаир</w:t>
      </w:r>
      <w:proofErr w:type="spellEnd"/>
      <w:r w:rsidRPr="005516C0">
        <w:rPr>
          <w:rFonts w:ascii="Times New Roman" w:hAnsi="Times New Roman" w:cs="Times New Roman"/>
        </w:rPr>
        <w:t>» об оценке № А‐37066/22 от 20.07.2022</w:t>
      </w:r>
      <w:bookmarkEnd w:id="0"/>
      <w:r w:rsidRPr="005516C0">
        <w:rPr>
          <w:rFonts w:ascii="Times New Roman" w:hAnsi="Times New Roman" w:cs="Times New Roman"/>
        </w:rPr>
        <w:t xml:space="preserve">) и составляет </w:t>
      </w:r>
      <w:r w:rsidRPr="005516C0">
        <w:rPr>
          <w:rFonts w:ascii="Times New Roman" w:hAnsi="Times New Roman" w:cs="Times New Roman"/>
          <w:b/>
          <w:bCs/>
        </w:rPr>
        <w:t>0 руб. 90 копеек.</w:t>
      </w:r>
    </w:p>
    <w:p w:rsidR="00B119CD" w:rsidRDefault="00B119C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16C0">
        <w:rPr>
          <w:rFonts w:ascii="Times New Roman" w:hAnsi="Times New Roman" w:cs="Times New Roman"/>
        </w:rPr>
        <w:t>Требования о выкупе акций Обществом, а также отзыв такого требования</w:t>
      </w:r>
      <w:r>
        <w:rPr>
          <w:rFonts w:ascii="Times New Roman" w:hAnsi="Times New Roman" w:cs="Times New Roman"/>
        </w:rPr>
        <w:t xml:space="preserve"> опубликованы на сайте: </w:t>
      </w:r>
      <w:hyperlink r:id="rId5" w:history="1">
        <w:r w:rsidRPr="00F2390E">
          <w:rPr>
            <w:rStyle w:val="a4"/>
            <w:rFonts w:ascii="Times New Roman" w:hAnsi="Times New Roman" w:cs="Times New Roman"/>
          </w:rPr>
          <w:t>www.centrgaz-gazprom.ru</w:t>
        </w:r>
      </w:hyperlink>
      <w:r>
        <w:rPr>
          <w:rStyle w:val="a4"/>
          <w:rFonts w:ascii="Times New Roman" w:hAnsi="Times New Roman" w:cs="Times New Roman"/>
        </w:rPr>
        <w:t xml:space="preserve"> </w:t>
      </w:r>
      <w:r w:rsidRPr="00B119CD">
        <w:rPr>
          <w:rStyle w:val="a4"/>
          <w:rFonts w:ascii="Times New Roman" w:hAnsi="Times New Roman" w:cs="Times New Roman"/>
          <w:color w:val="auto"/>
          <w:u w:val="none"/>
        </w:rPr>
        <w:t>в разделе информация для акционеров по выкупу акций</w:t>
      </w:r>
      <w:r>
        <w:rPr>
          <w:rStyle w:val="a4"/>
          <w:rFonts w:ascii="Times New Roman" w:hAnsi="Times New Roman" w:cs="Times New Roman"/>
          <w:color w:val="auto"/>
          <w:u w:val="none"/>
        </w:rPr>
        <w:t xml:space="preserve">, в том числе на сайте Регистратора: </w:t>
      </w:r>
      <w:hyperlink r:id="rId6" w:history="1">
        <w:r w:rsidRPr="00EA3E6A">
          <w:rPr>
            <w:rFonts w:ascii="Times New Roman" w:hAnsi="Times New Roman" w:cs="Times New Roman"/>
          </w:rPr>
          <w:t>https://draga.ru/kontakty/obsluzhivanie-v-regionah</w:t>
        </w:r>
      </w:hyperlink>
      <w:r>
        <w:rPr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</w:rPr>
        <w:t xml:space="preserve"> </w:t>
      </w:r>
    </w:p>
    <w:p w:rsidR="00D2164D" w:rsidRPr="00A6277D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516C0">
        <w:rPr>
          <w:rFonts w:ascii="Times New Roman" w:hAnsi="Times New Roman" w:cs="Times New Roman"/>
        </w:rPr>
        <w:t xml:space="preserve">Требования о выкупе акций Обществом, а также отзыв такого требования могут быть предъявлены вышеназванными акционерами </w:t>
      </w:r>
      <w:r w:rsidRPr="005516C0">
        <w:rPr>
          <w:rFonts w:ascii="Times New Roman" w:hAnsi="Times New Roman" w:cs="Times New Roman"/>
          <w:b/>
          <w:bCs/>
        </w:rPr>
        <w:t>не позднее 45 дней (не позднее 31.10.2022)</w:t>
      </w:r>
      <w:r w:rsidRPr="005516C0">
        <w:rPr>
          <w:rFonts w:ascii="Times New Roman" w:hAnsi="Times New Roman" w:cs="Times New Roman"/>
        </w:rPr>
        <w:t xml:space="preserve"> с даты принятия соответствующего решения Общим собранием акционеров в следующем порядке:</w:t>
      </w:r>
    </w:p>
    <w:p w:rsidR="00D2164D" w:rsidRPr="00A6277D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  <w:b/>
          <w:bCs/>
        </w:rPr>
        <w:t>1.</w:t>
      </w:r>
      <w:r w:rsidRPr="00A6277D">
        <w:rPr>
          <w:rFonts w:ascii="Times New Roman" w:hAnsi="Times New Roman" w:cs="Times New Roman"/>
        </w:rPr>
        <w:t xml:space="preserve"> Требование о выкупе акций/отзыв требования</w:t>
      </w:r>
      <w:r w:rsidRPr="00A6277D">
        <w:rPr>
          <w:rFonts w:ascii="Times New Roman" w:hAnsi="Times New Roman" w:cs="Times New Roman"/>
          <w:b/>
          <w:bCs/>
        </w:rPr>
        <w:t xml:space="preserve"> акционера, зарегистрированного в реестре акционеров Общества</w:t>
      </w:r>
      <w:r w:rsidRPr="00A6277D">
        <w:rPr>
          <w:rFonts w:ascii="Times New Roman" w:hAnsi="Times New Roman" w:cs="Times New Roman"/>
        </w:rPr>
        <w:t>, или отзыв такого требования предъявл</w:t>
      </w:r>
      <w:bookmarkStart w:id="1" w:name="_GoBack"/>
      <w:bookmarkEnd w:id="1"/>
      <w:r w:rsidRPr="00A6277D">
        <w:rPr>
          <w:rFonts w:ascii="Times New Roman" w:hAnsi="Times New Roman" w:cs="Times New Roman"/>
        </w:rPr>
        <w:t xml:space="preserve">яются регистратору Общества – </w:t>
      </w:r>
      <w:r>
        <w:rPr>
          <w:rFonts w:ascii="Times New Roman" w:hAnsi="Times New Roman" w:cs="Times New Roman"/>
        </w:rPr>
        <w:br/>
      </w:r>
      <w:r w:rsidRPr="00A6277D">
        <w:rPr>
          <w:rFonts w:ascii="Times New Roman" w:hAnsi="Times New Roman" w:cs="Times New Roman"/>
        </w:rPr>
        <w:t>АО «ДРАГА» путем направления по почте либо вручения под роспись документа в письменной форме. Указанное требование о выкупе должно содержать сведения, позволяющие идентифицировать акционера, а также количество акций, выкупа которого он требует, в том числе:</w:t>
      </w:r>
    </w:p>
    <w:p w:rsidR="00D2164D" w:rsidRPr="00A6277D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425"/>
        <w:gridCol w:w="3828"/>
        <w:gridCol w:w="5105"/>
      </w:tblGrid>
      <w:tr w:rsidR="00D2164D" w:rsidRPr="00A6277D" w:rsidTr="001C0DE7">
        <w:trPr>
          <w:trHeight w:val="177"/>
        </w:trPr>
        <w:tc>
          <w:tcPr>
            <w:tcW w:w="425" w:type="dxa"/>
          </w:tcPr>
          <w:p w:rsidR="00D2164D" w:rsidRPr="00A6277D" w:rsidRDefault="00D2164D" w:rsidP="001C0DE7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2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8" w:type="dxa"/>
          </w:tcPr>
          <w:p w:rsidR="00D2164D" w:rsidRPr="00A6277D" w:rsidRDefault="00D2164D" w:rsidP="001C0D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77D">
              <w:rPr>
                <w:rFonts w:ascii="Times New Roman" w:hAnsi="Times New Roman" w:cs="Times New Roman"/>
                <w:b/>
                <w:bCs/>
              </w:rPr>
              <w:t>Для физических лиц</w:t>
            </w:r>
          </w:p>
        </w:tc>
        <w:tc>
          <w:tcPr>
            <w:tcW w:w="5105" w:type="dxa"/>
          </w:tcPr>
          <w:p w:rsidR="00D2164D" w:rsidRPr="00A6277D" w:rsidRDefault="00D2164D" w:rsidP="001C0DE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6277D">
              <w:rPr>
                <w:rFonts w:ascii="Times New Roman" w:hAnsi="Times New Roman" w:cs="Times New Roman"/>
                <w:b/>
                <w:bCs/>
              </w:rPr>
              <w:t>Для юридических лиц</w:t>
            </w:r>
          </w:p>
        </w:tc>
      </w:tr>
      <w:tr w:rsidR="00D2164D" w:rsidRPr="00A6277D" w:rsidTr="001C0DE7">
        <w:trPr>
          <w:trHeight w:val="533"/>
        </w:trPr>
        <w:tc>
          <w:tcPr>
            <w:tcW w:w="425" w:type="dxa"/>
          </w:tcPr>
          <w:p w:rsidR="00D2164D" w:rsidRPr="00A6277D" w:rsidRDefault="00D2164D" w:rsidP="001C0DE7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8" w:type="dxa"/>
          </w:tcPr>
          <w:p w:rsidR="00D2164D" w:rsidRPr="00A6277D" w:rsidRDefault="00D2164D" w:rsidP="001C0DE7">
            <w:pPr>
              <w:jc w:val="both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Фамилия, имя, отчество.</w:t>
            </w:r>
          </w:p>
        </w:tc>
        <w:tc>
          <w:tcPr>
            <w:tcW w:w="5105" w:type="dxa"/>
          </w:tcPr>
          <w:p w:rsidR="00D2164D" w:rsidRPr="00A6277D" w:rsidRDefault="00D2164D" w:rsidP="001C0DE7">
            <w:pPr>
              <w:jc w:val="both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Полное и сокращенное фирменное наименование.</w:t>
            </w:r>
          </w:p>
        </w:tc>
      </w:tr>
      <w:tr w:rsidR="00D2164D" w:rsidRPr="00A6277D" w:rsidTr="001C0DE7">
        <w:trPr>
          <w:trHeight w:val="412"/>
        </w:trPr>
        <w:tc>
          <w:tcPr>
            <w:tcW w:w="425" w:type="dxa"/>
          </w:tcPr>
          <w:p w:rsidR="00D2164D" w:rsidRPr="00A6277D" w:rsidRDefault="00D2164D" w:rsidP="001C0DE7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8" w:type="dxa"/>
          </w:tcPr>
          <w:p w:rsidR="00D2164D" w:rsidRPr="00A6277D" w:rsidRDefault="00D2164D" w:rsidP="001C0DE7">
            <w:pPr>
              <w:jc w:val="both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Место жительства, адрес регистрации.</w:t>
            </w:r>
          </w:p>
        </w:tc>
        <w:tc>
          <w:tcPr>
            <w:tcW w:w="5105" w:type="dxa"/>
          </w:tcPr>
          <w:p w:rsidR="00D2164D" w:rsidRPr="00A6277D" w:rsidRDefault="00D2164D" w:rsidP="001C0DE7">
            <w:pPr>
              <w:jc w:val="both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Место нахождения, адрес юридического лица.</w:t>
            </w:r>
          </w:p>
        </w:tc>
      </w:tr>
      <w:tr w:rsidR="00D2164D" w:rsidRPr="00A6277D" w:rsidTr="001C0DE7">
        <w:trPr>
          <w:trHeight w:val="177"/>
        </w:trPr>
        <w:tc>
          <w:tcPr>
            <w:tcW w:w="425" w:type="dxa"/>
          </w:tcPr>
          <w:p w:rsidR="00D2164D" w:rsidRPr="00A6277D" w:rsidRDefault="00D2164D" w:rsidP="001C0DE7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8" w:type="dxa"/>
          </w:tcPr>
          <w:p w:rsidR="00D2164D" w:rsidRPr="00A6277D" w:rsidRDefault="00D2164D" w:rsidP="001C0DE7">
            <w:pPr>
              <w:jc w:val="both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Паспортные данные.</w:t>
            </w:r>
          </w:p>
        </w:tc>
        <w:tc>
          <w:tcPr>
            <w:tcW w:w="5105" w:type="dxa"/>
          </w:tcPr>
          <w:p w:rsidR="00D2164D" w:rsidRPr="00A6277D" w:rsidRDefault="00D2164D" w:rsidP="001C0DE7">
            <w:pPr>
              <w:jc w:val="both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Основной государственный регистрационный номер (ОГРН).</w:t>
            </w:r>
          </w:p>
        </w:tc>
      </w:tr>
      <w:tr w:rsidR="00D2164D" w:rsidRPr="00A6277D" w:rsidTr="001C0DE7">
        <w:trPr>
          <w:trHeight w:val="177"/>
        </w:trPr>
        <w:tc>
          <w:tcPr>
            <w:tcW w:w="425" w:type="dxa"/>
          </w:tcPr>
          <w:p w:rsidR="00D2164D" w:rsidRPr="00A6277D" w:rsidRDefault="00D2164D" w:rsidP="001C0DE7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33" w:type="dxa"/>
            <w:gridSpan w:val="2"/>
          </w:tcPr>
          <w:p w:rsidR="00D2164D" w:rsidRPr="00A6277D" w:rsidRDefault="00D2164D" w:rsidP="001C0DE7">
            <w:pPr>
              <w:jc w:val="both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Индивидуальный номер налогоплательщика.</w:t>
            </w:r>
          </w:p>
        </w:tc>
      </w:tr>
      <w:tr w:rsidR="00D2164D" w:rsidRPr="00A6277D" w:rsidTr="001C0DE7">
        <w:trPr>
          <w:trHeight w:val="177"/>
        </w:trPr>
        <w:tc>
          <w:tcPr>
            <w:tcW w:w="425" w:type="dxa"/>
          </w:tcPr>
          <w:p w:rsidR="00D2164D" w:rsidRPr="00A6277D" w:rsidRDefault="00D2164D" w:rsidP="001C0DE7">
            <w:pPr>
              <w:ind w:left="-109"/>
              <w:jc w:val="center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933" w:type="dxa"/>
            <w:gridSpan w:val="2"/>
          </w:tcPr>
          <w:p w:rsidR="00D2164D" w:rsidRPr="00A6277D" w:rsidRDefault="00D2164D" w:rsidP="001C0DE7">
            <w:pPr>
              <w:jc w:val="both"/>
              <w:rPr>
                <w:rFonts w:ascii="Times New Roman" w:hAnsi="Times New Roman" w:cs="Times New Roman"/>
              </w:rPr>
            </w:pPr>
            <w:r w:rsidRPr="00A6277D">
              <w:rPr>
                <w:rFonts w:ascii="Times New Roman" w:hAnsi="Times New Roman" w:cs="Times New Roman"/>
              </w:rPr>
              <w:t>Количество, категория (тип), государственный регистрационный номер акций, выкупа которых требует акционер.</w:t>
            </w:r>
          </w:p>
        </w:tc>
      </w:tr>
    </w:tbl>
    <w:p w:rsidR="00D2164D" w:rsidRPr="00A6277D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2164D" w:rsidRPr="00A6277D" w:rsidRDefault="00D2164D" w:rsidP="00D216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A6277D">
        <w:rPr>
          <w:rFonts w:ascii="Times New Roman" w:hAnsi="Times New Roman" w:cs="Times New Roman"/>
          <w:b/>
          <w:bCs/>
        </w:rPr>
        <w:t>Требования о выкупе акционера, а также отзыв такого требования:</w:t>
      </w:r>
    </w:p>
    <w:p w:rsidR="00D2164D" w:rsidRPr="00A6277D" w:rsidRDefault="00D2164D" w:rsidP="00D216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>должны быть подписаны акционером, либо его уполномоченным представителем;</w:t>
      </w:r>
    </w:p>
    <w:p w:rsidR="00D2164D" w:rsidRPr="00A6277D" w:rsidRDefault="00D2164D" w:rsidP="00D216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 xml:space="preserve"> предъявленные акционером – юридическим лицом должно содержать печать в случае, если уставом юридического лица, либо федеральными законами предусмотрено использование печати;</w:t>
      </w:r>
    </w:p>
    <w:p w:rsidR="00D2164D" w:rsidRPr="00A6277D" w:rsidRDefault="00D2164D" w:rsidP="00D2164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>в случае подписания уполномоченным представителем акционера вместе с требованием подлежит представлению оригинал, либо копия, удостоверенная нотариально, оформленной в соответствии с требованиями действующего законодательства Российской Федерации доверенности, содержащей соответствующие полномочия подписавшего требование представителя.</w:t>
      </w:r>
    </w:p>
    <w:p w:rsidR="00D2164D" w:rsidRPr="00A6277D" w:rsidRDefault="00D2164D" w:rsidP="00D216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2164D" w:rsidRPr="005516C0" w:rsidRDefault="00D2164D" w:rsidP="00D216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16C0">
        <w:rPr>
          <w:rFonts w:ascii="Times New Roman" w:hAnsi="Times New Roman" w:cs="Times New Roman"/>
        </w:rPr>
        <w:t>Акционеры могут предъявить, либо направить требования о выкупе акций по основному</w:t>
      </w:r>
      <w:r>
        <w:rPr>
          <w:rFonts w:ascii="Times New Roman" w:hAnsi="Times New Roman" w:cs="Times New Roman"/>
        </w:rPr>
        <w:t xml:space="preserve"> месту ведения </w:t>
      </w:r>
      <w:proofErr w:type="gramStart"/>
      <w:r>
        <w:rPr>
          <w:rFonts w:ascii="Times New Roman" w:hAnsi="Times New Roman" w:cs="Times New Roman"/>
        </w:rPr>
        <w:t xml:space="preserve">реестра </w:t>
      </w:r>
      <w:r w:rsidRPr="005516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владельцев</w:t>
      </w:r>
      <w:proofErr w:type="gramEnd"/>
      <w:r>
        <w:rPr>
          <w:rFonts w:ascii="Times New Roman" w:hAnsi="Times New Roman" w:cs="Times New Roman"/>
        </w:rPr>
        <w:t xml:space="preserve"> ценных бумаг Общества</w:t>
      </w:r>
      <w:r w:rsidRPr="005516C0">
        <w:rPr>
          <w:rFonts w:ascii="Times New Roman" w:hAnsi="Times New Roman" w:cs="Times New Roman"/>
        </w:rPr>
        <w:t xml:space="preserve"> регистратор</w:t>
      </w:r>
      <w:r>
        <w:rPr>
          <w:rFonts w:ascii="Times New Roman" w:hAnsi="Times New Roman" w:cs="Times New Roman"/>
        </w:rPr>
        <w:t>ом</w:t>
      </w:r>
      <w:r w:rsidRPr="005516C0">
        <w:rPr>
          <w:rFonts w:ascii="Times New Roman" w:hAnsi="Times New Roman" w:cs="Times New Roman"/>
        </w:rPr>
        <w:t>:</w:t>
      </w:r>
    </w:p>
    <w:p w:rsidR="00D2164D" w:rsidRPr="005516C0" w:rsidRDefault="00D2164D" w:rsidP="00D216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16C0">
        <w:rPr>
          <w:rFonts w:ascii="Times New Roman" w:hAnsi="Times New Roman" w:cs="Times New Roman"/>
          <w:b/>
          <w:bCs/>
        </w:rPr>
        <w:t>Сведения о наименовании:</w:t>
      </w:r>
      <w:r w:rsidRPr="005516C0">
        <w:rPr>
          <w:rFonts w:ascii="Times New Roman" w:hAnsi="Times New Roman" w:cs="Times New Roman"/>
        </w:rPr>
        <w:t xml:space="preserve"> Акционерное общество «Специализированный регистратор — Держатель реестров акционеров газовой промышленности» (АО «ДРАГА»)</w:t>
      </w:r>
    </w:p>
    <w:p w:rsidR="00D2164D" w:rsidRDefault="00D2164D" w:rsidP="00D2164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516C0">
        <w:rPr>
          <w:rFonts w:ascii="Times New Roman" w:hAnsi="Times New Roman" w:cs="Times New Roman"/>
          <w:b/>
          <w:bCs/>
        </w:rPr>
        <w:t>Адрес</w:t>
      </w:r>
      <w:r>
        <w:rPr>
          <w:rFonts w:ascii="Times New Roman" w:hAnsi="Times New Roman" w:cs="Times New Roman"/>
          <w:b/>
          <w:bCs/>
        </w:rPr>
        <w:t xml:space="preserve"> места ведения реестра: </w:t>
      </w:r>
      <w:r w:rsidRPr="00551D8C">
        <w:rPr>
          <w:rFonts w:ascii="Times New Roman" w:hAnsi="Times New Roman" w:cs="Times New Roman"/>
          <w:b/>
          <w:bCs/>
        </w:rPr>
        <w:t xml:space="preserve">117420, Москва, ул. </w:t>
      </w:r>
      <w:proofErr w:type="spellStart"/>
      <w:r w:rsidRPr="00551D8C">
        <w:rPr>
          <w:rFonts w:ascii="Times New Roman" w:hAnsi="Times New Roman" w:cs="Times New Roman"/>
          <w:b/>
          <w:bCs/>
        </w:rPr>
        <w:t>Новочеремушкинская</w:t>
      </w:r>
      <w:proofErr w:type="spellEnd"/>
      <w:r w:rsidRPr="00551D8C">
        <w:rPr>
          <w:rFonts w:ascii="Times New Roman" w:hAnsi="Times New Roman" w:cs="Times New Roman"/>
          <w:b/>
          <w:bCs/>
        </w:rPr>
        <w:t>, д. 71/32</w:t>
      </w:r>
      <w:r w:rsidRPr="00551D8C" w:rsidDel="00551D8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(</w:t>
      </w:r>
      <w:r w:rsidRPr="00551D8C">
        <w:rPr>
          <w:rFonts w:ascii="Times New Roman" w:hAnsi="Times New Roman" w:cs="Times New Roman"/>
        </w:rPr>
        <w:t>филиал АО «ДРАГА» в г. Москве</w:t>
      </w:r>
      <w:r>
        <w:rPr>
          <w:rFonts w:ascii="Times New Roman" w:hAnsi="Times New Roman" w:cs="Times New Roman"/>
        </w:rPr>
        <w:t>)</w:t>
      </w:r>
    </w:p>
    <w:p w:rsidR="00D2164D" w:rsidRPr="00EA3E6A" w:rsidRDefault="00D2164D" w:rsidP="00D2164D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Акционер вправе предоставить требования по</w:t>
      </w:r>
      <w:r w:rsidRPr="00EA3E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основному адресу регистратора Общества, а также </w:t>
      </w:r>
      <w:r w:rsidRPr="00EA3E6A">
        <w:rPr>
          <w:rFonts w:ascii="Times New Roman" w:hAnsi="Times New Roman" w:cs="Times New Roman"/>
        </w:rPr>
        <w:t xml:space="preserve">любого из филиалов АО «ДРАГА», опубликованных на странице в сети «Интернет»: </w:t>
      </w:r>
      <w:hyperlink r:id="rId7" w:history="1">
        <w:r w:rsidRPr="00EA3E6A">
          <w:rPr>
            <w:rFonts w:ascii="Times New Roman" w:hAnsi="Times New Roman" w:cs="Times New Roman"/>
          </w:rPr>
          <w:t>https://draga.ru/kontakty/obsluzhivanie-v-regionah</w:t>
        </w:r>
      </w:hyperlink>
    </w:p>
    <w:p w:rsidR="00D2164D" w:rsidRPr="00A6277D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2164D" w:rsidRPr="00A6277D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  <w:b/>
          <w:bCs/>
        </w:rPr>
        <w:t>2.</w:t>
      </w:r>
      <w:r w:rsidRPr="00A6277D">
        <w:rPr>
          <w:rFonts w:ascii="Times New Roman" w:hAnsi="Times New Roman" w:cs="Times New Roman"/>
        </w:rPr>
        <w:t xml:space="preserve"> </w:t>
      </w:r>
      <w:r w:rsidRPr="00A6277D">
        <w:rPr>
          <w:rFonts w:ascii="Times New Roman" w:hAnsi="Times New Roman" w:cs="Times New Roman"/>
          <w:b/>
          <w:bCs/>
        </w:rPr>
        <w:t>Акционер, не зарегистрированный в реестре акционеров общества</w:t>
      </w:r>
      <w:r w:rsidRPr="00A6277D">
        <w:rPr>
          <w:rFonts w:ascii="Times New Roman" w:hAnsi="Times New Roman" w:cs="Times New Roman"/>
        </w:rPr>
        <w:t xml:space="preserve">, вправе требовать выкупа </w:t>
      </w:r>
      <w:r>
        <w:rPr>
          <w:rFonts w:ascii="Times New Roman" w:hAnsi="Times New Roman" w:cs="Times New Roman"/>
        </w:rPr>
        <w:t>О</w:t>
      </w:r>
      <w:r w:rsidRPr="00A6277D">
        <w:rPr>
          <w:rFonts w:ascii="Times New Roman" w:hAnsi="Times New Roman" w:cs="Times New Roman"/>
        </w:rPr>
        <w:t xml:space="preserve">бществом принадлежащих ему акций путем </w:t>
      </w:r>
      <w:r>
        <w:rPr>
          <w:rFonts w:ascii="Times New Roman" w:hAnsi="Times New Roman" w:cs="Times New Roman"/>
        </w:rPr>
        <w:t>дачи</w:t>
      </w:r>
      <w:r w:rsidRPr="00A6277D">
        <w:rPr>
          <w:rFonts w:ascii="Times New Roman" w:hAnsi="Times New Roman" w:cs="Times New Roman"/>
        </w:rPr>
        <w:t xml:space="preserve"> соответствующих указаний (инструкций) лицу, которое осуществляет учет его прав на акции Общества. В этом случае такое указание (инструкция) дается в </w:t>
      </w:r>
      <w:r w:rsidRPr="00A6277D">
        <w:rPr>
          <w:rFonts w:ascii="Times New Roman" w:hAnsi="Times New Roman" w:cs="Times New Roman"/>
        </w:rPr>
        <w:lastRenderedPageBreak/>
        <w:t xml:space="preserve">соответствии с правилами законодательства Российской Федерации о ценных бумагах (Федеральный закон Федеральный закон от 22.04.1996 N 39-ФЗ </w:t>
      </w:r>
      <w:r>
        <w:rPr>
          <w:rFonts w:ascii="Times New Roman" w:hAnsi="Times New Roman" w:cs="Times New Roman"/>
        </w:rPr>
        <w:t>«</w:t>
      </w:r>
      <w:r w:rsidRPr="00A6277D">
        <w:rPr>
          <w:rFonts w:ascii="Times New Roman" w:hAnsi="Times New Roman" w:cs="Times New Roman"/>
        </w:rPr>
        <w:t>О рынке ценных бумаг</w:t>
      </w:r>
      <w:r>
        <w:rPr>
          <w:rFonts w:ascii="Times New Roman" w:hAnsi="Times New Roman" w:cs="Times New Roman"/>
        </w:rPr>
        <w:t>»</w:t>
      </w:r>
      <w:r w:rsidRPr="00A6277D">
        <w:rPr>
          <w:rFonts w:ascii="Times New Roman" w:hAnsi="Times New Roman" w:cs="Times New Roman"/>
        </w:rPr>
        <w:t>) и должно содержать сведения о количестве акций каждой категории (типа), выкупа которых требует акционер.</w:t>
      </w:r>
    </w:p>
    <w:p w:rsidR="00D2164D" w:rsidRPr="00A6277D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>Со дня получения номинальным держателем акций от акционера указания (инструкции)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акциями, в том числе передавать их в залог либо обременять другими способами, о чем номинальный держатель без поручения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</w:t>
      </w:r>
    </w:p>
    <w:p w:rsidR="00D2164D" w:rsidRPr="00A6277D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2164D" w:rsidRPr="00A6277D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  <w:b/>
          <w:bCs/>
        </w:rPr>
        <w:t>3.</w:t>
      </w:r>
      <w:r w:rsidRPr="00A6277D">
        <w:rPr>
          <w:rFonts w:ascii="Times New Roman" w:hAnsi="Times New Roman" w:cs="Times New Roman"/>
        </w:rPr>
        <w:t xml:space="preserve"> Требование о выкупе акций акционера или его отзыв считается предъявленным обществу в день его получения регистратором Общества от акционера, зарегистрированного в реестре акционеров общества, либо в день получения регистратором Общества от номинального держателя акций, зарегистрированного в реестре акционеров общества, сообщения, содержащего волеизъявление такого акционера.</w:t>
      </w:r>
    </w:p>
    <w:p w:rsidR="00D2164D" w:rsidRPr="00A6277D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>Со дня получения регистратором общества/номинальным держателем акций требования акционера о выкупе акций и до дня внесения в реестр акционеров Общества/ внесения записи по счету номинального держателя записи о переходе прав на выкупаемые акции к Обществу/ внесения записи о переходе прав на такие акции к Обществу или до дня получения отзыва акционером такого требования акционер не вправе распоряжаться предъявленными к выкупу акциями, в том числе передавать их в залог или обременять другими способами, о чем регистратор Общества/ номинальный держатель без распоряжения/поручения акционера вносит запись об установлении такого ограничения по счету, на котором учитываются права на акции акционера, предъявившего такое требование.</w:t>
      </w:r>
    </w:p>
    <w:p w:rsidR="00D2164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2164D" w:rsidRPr="00A6277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  <w:b/>
          <w:bCs/>
        </w:rPr>
        <w:t>4.</w:t>
      </w:r>
      <w:r w:rsidRPr="00A6277D">
        <w:rPr>
          <w:rFonts w:ascii="Times New Roman" w:hAnsi="Times New Roman" w:cs="Times New Roman"/>
        </w:rPr>
        <w:t xml:space="preserve">  В соответствии со ст. 76 ФЗ «Об АО» Совет директоров </w:t>
      </w:r>
      <w:proofErr w:type="gramStart"/>
      <w:r w:rsidRPr="00A6277D">
        <w:rPr>
          <w:rFonts w:ascii="Times New Roman" w:hAnsi="Times New Roman" w:cs="Times New Roman"/>
        </w:rPr>
        <w:t>Общества  не</w:t>
      </w:r>
      <w:proofErr w:type="gramEnd"/>
      <w:r w:rsidRPr="00A6277D">
        <w:rPr>
          <w:rFonts w:ascii="Times New Roman" w:hAnsi="Times New Roman" w:cs="Times New Roman"/>
        </w:rPr>
        <w:t xml:space="preserve"> позднее чем через 50 дней со дня принятия решения Общим собранием акционеров утверждает отчет об итогах предъявления акционерами требований о выкупе принадлежащих им акций, в составе которого подлежат отражению сведения о количестве акций, в отношении которых заявлены требования об их выкупе, и количестве, в котором они могут быть выкуплены Обществом.</w:t>
      </w:r>
    </w:p>
    <w:p w:rsidR="00D2164D" w:rsidRPr="00A6277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>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акций.</w:t>
      </w:r>
    </w:p>
    <w:p w:rsidR="00D2164D" w:rsidRPr="00A6277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>В случае,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пропорционально заявленным требованиям. При указанном превышении Совет директоров при подведении итогов выкупа устанавливает коэффициент удовлетворения требований о выкупе акционеров, который рассчитывается путем деления общего количества акций, которое может быть выкуплено у акционеров с учетом указанного ограничения на общее количество акций, в отношении которых предъявлены требования о выкупе. Полученный коэффициент умножается на количество предъявленных каждым акционером к выкупу акций в результате чего определяется количество выкупаемых акций, при этом, в случае получения дробного числа подлежит применению правило математического округления:</w:t>
      </w:r>
    </w:p>
    <w:p w:rsidR="00D2164D" w:rsidRPr="00AC453A" w:rsidRDefault="00D2164D" w:rsidP="00D2164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C453A">
        <w:rPr>
          <w:rFonts w:ascii="Times New Roman" w:hAnsi="Times New Roman" w:cs="Times New Roman"/>
        </w:rPr>
        <w:t>при значении знака, следующего после запятой, от 5 до 9 включительно к целому числу прибавляется единица, а числа, следующие после запятой, не учитываются;</w:t>
      </w:r>
    </w:p>
    <w:p w:rsidR="00D2164D" w:rsidRPr="00AC453A" w:rsidRDefault="00D2164D" w:rsidP="00D2164D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C453A">
        <w:rPr>
          <w:rFonts w:ascii="Times New Roman" w:hAnsi="Times New Roman" w:cs="Times New Roman"/>
        </w:rPr>
        <w:t>при значении знака, следующего после запятой, от 0 до 4 включительно в расчет принимается лишь целое число, а числа, следующие после запятой, не учитываются.</w:t>
      </w:r>
    </w:p>
    <w:p w:rsidR="00D2164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D2164D" w:rsidRPr="00A6277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  <w:b/>
          <w:bCs/>
        </w:rPr>
        <w:t>5.</w:t>
      </w:r>
      <w:r w:rsidRPr="00A6277D">
        <w:rPr>
          <w:rFonts w:ascii="Times New Roman" w:hAnsi="Times New Roman" w:cs="Times New Roman"/>
        </w:rPr>
        <w:t xml:space="preserve"> Общество обязано выкупить акции у включенных в список лиц, имеющих право требовать выкупа Общество принадлежащим им акций, акционеров в течение 30 дней поле истечения срока на предъявление требований о выкупе акций (45 дней с даты принятия решения Общим собранием акционеров). В случае предъявления требования о выкупе акций лицом, не включенным в список лиц, имеющих право требовать выкупа им акций, Общество в срок не позднее 5 дней с даты истечения срока предъявления требований обязано направить отказ в его удовлетворении.</w:t>
      </w:r>
    </w:p>
    <w:p w:rsidR="00D2164D" w:rsidRPr="00A6277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>Невозможность осуществления выкупа акций, в отношении которых предъявляется требование, также может быть сопряжено со следующими обстоятельствами:</w:t>
      </w:r>
    </w:p>
    <w:p w:rsidR="00D2164D" w:rsidRPr="00A6277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>- в отношении акций установлено обременение в обеспечении исполнения обязательств перед третьими лицами, арест, либо иные ограничения, не позволяющие обеспечить выкуп ценных бумаг;</w:t>
      </w:r>
    </w:p>
    <w:p w:rsidR="00D2164D" w:rsidRPr="00A6277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 xml:space="preserve">- акционеров предъявлено требование о выкупе большего количества акций, чем зафиксировано в списке лиц, имеющих право требовать выкупа </w:t>
      </w:r>
      <w:proofErr w:type="gramStart"/>
      <w:r w:rsidRPr="00A6277D">
        <w:rPr>
          <w:rFonts w:ascii="Times New Roman" w:hAnsi="Times New Roman" w:cs="Times New Roman"/>
        </w:rPr>
        <w:t>Обществом</w:t>
      </w:r>
      <w:proofErr w:type="gramEnd"/>
      <w:r w:rsidRPr="00A6277D">
        <w:rPr>
          <w:rFonts w:ascii="Times New Roman" w:hAnsi="Times New Roman" w:cs="Times New Roman"/>
        </w:rPr>
        <w:t xml:space="preserve"> принадлежащим им акций, составляемого на </w:t>
      </w:r>
      <w:r w:rsidRPr="00A6277D">
        <w:rPr>
          <w:rFonts w:ascii="Times New Roman" w:hAnsi="Times New Roman" w:cs="Times New Roman"/>
        </w:rPr>
        <w:lastRenderedPageBreak/>
        <w:t>основании списка лиц, имеющих право на участие в Общем собрании акционеров на котором принимается решение о реорганизации.</w:t>
      </w:r>
    </w:p>
    <w:p w:rsidR="00D2164D" w:rsidRPr="00A6277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>- регистратор не обладает достаточными данными для идентификации акционера, предъявившего требование о выкупе в связи отсутствием, либо неактуальность сведений об акционере, содержащихся в реестре владельцев именных ценных бумаг Общества;</w:t>
      </w:r>
    </w:p>
    <w:p w:rsidR="00D2164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 xml:space="preserve">- требование о выкупе предъявлено акционером без учета ограничений и соблюдения особого порядка совершения сделок, установленного Указом Президента РФ от 01.03.2022 </w:t>
      </w:r>
      <w:r>
        <w:rPr>
          <w:rFonts w:ascii="Times New Roman" w:hAnsi="Times New Roman" w:cs="Times New Roman"/>
        </w:rPr>
        <w:t>№</w:t>
      </w:r>
      <w:r w:rsidRPr="00A6277D">
        <w:rPr>
          <w:rFonts w:ascii="Times New Roman" w:hAnsi="Times New Roman" w:cs="Times New Roman"/>
        </w:rPr>
        <w:t xml:space="preserve"> 81</w:t>
      </w:r>
      <w:r>
        <w:rPr>
          <w:rFonts w:ascii="Times New Roman" w:hAnsi="Times New Roman" w:cs="Times New Roman"/>
        </w:rPr>
        <w:t xml:space="preserve"> «</w:t>
      </w:r>
      <w:r w:rsidRPr="00A6277D">
        <w:rPr>
          <w:rFonts w:ascii="Times New Roman" w:hAnsi="Times New Roman" w:cs="Times New Roman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>
        <w:rPr>
          <w:rFonts w:ascii="Times New Roman" w:hAnsi="Times New Roman" w:cs="Times New Roman"/>
        </w:rPr>
        <w:t>»</w:t>
      </w:r>
      <w:r w:rsidRPr="00A6277D">
        <w:rPr>
          <w:rFonts w:ascii="Times New Roman" w:hAnsi="Times New Roman" w:cs="Times New Roman"/>
        </w:rPr>
        <w:t xml:space="preserve"> в соответствии с федеральными законами от 30 декабря 2006 г. </w:t>
      </w:r>
      <w:r>
        <w:rPr>
          <w:rFonts w:ascii="Times New Roman" w:hAnsi="Times New Roman" w:cs="Times New Roman"/>
        </w:rPr>
        <w:t>№</w:t>
      </w:r>
      <w:r w:rsidRPr="00A6277D">
        <w:rPr>
          <w:rFonts w:ascii="Times New Roman" w:hAnsi="Times New Roman" w:cs="Times New Roman"/>
        </w:rPr>
        <w:t xml:space="preserve"> 281-ФЗ </w:t>
      </w:r>
      <w:r>
        <w:rPr>
          <w:rFonts w:ascii="Times New Roman" w:hAnsi="Times New Roman" w:cs="Times New Roman"/>
        </w:rPr>
        <w:t>«</w:t>
      </w:r>
      <w:r w:rsidRPr="00A6277D">
        <w:rPr>
          <w:rFonts w:ascii="Times New Roman" w:hAnsi="Times New Roman" w:cs="Times New Roman"/>
        </w:rPr>
        <w:t>О специальных экономических мерах и принудительных мерах</w:t>
      </w:r>
      <w:r>
        <w:rPr>
          <w:rFonts w:ascii="Times New Roman" w:hAnsi="Times New Roman" w:cs="Times New Roman"/>
        </w:rPr>
        <w:t>»</w:t>
      </w:r>
      <w:r w:rsidRPr="00A6277D">
        <w:rPr>
          <w:rFonts w:ascii="Times New Roman" w:hAnsi="Times New Roman" w:cs="Times New Roman"/>
        </w:rPr>
        <w:t xml:space="preserve">, от 28 декабря 2010 г. </w:t>
      </w:r>
      <w:r>
        <w:rPr>
          <w:rFonts w:ascii="Times New Roman" w:hAnsi="Times New Roman" w:cs="Times New Roman"/>
        </w:rPr>
        <w:t>№</w:t>
      </w:r>
      <w:r w:rsidRPr="00A6277D">
        <w:rPr>
          <w:rFonts w:ascii="Times New Roman" w:hAnsi="Times New Roman" w:cs="Times New Roman"/>
        </w:rPr>
        <w:t xml:space="preserve"> 390-ФЗ </w:t>
      </w:r>
      <w:r>
        <w:rPr>
          <w:rFonts w:ascii="Times New Roman" w:hAnsi="Times New Roman" w:cs="Times New Roman"/>
        </w:rPr>
        <w:t>«</w:t>
      </w:r>
      <w:r w:rsidRPr="00A6277D">
        <w:rPr>
          <w:rFonts w:ascii="Times New Roman" w:hAnsi="Times New Roman" w:cs="Times New Roman"/>
        </w:rPr>
        <w:t>О безопасности</w:t>
      </w:r>
      <w:r>
        <w:rPr>
          <w:rFonts w:ascii="Times New Roman" w:hAnsi="Times New Roman" w:cs="Times New Roman"/>
        </w:rPr>
        <w:t>»</w:t>
      </w:r>
      <w:r w:rsidRPr="00A6277D">
        <w:rPr>
          <w:rFonts w:ascii="Times New Roman" w:hAnsi="Times New Roman" w:cs="Times New Roman"/>
        </w:rPr>
        <w:t xml:space="preserve"> и от 4 июня 2018 г. </w:t>
      </w:r>
      <w:r>
        <w:rPr>
          <w:rFonts w:ascii="Times New Roman" w:hAnsi="Times New Roman" w:cs="Times New Roman"/>
        </w:rPr>
        <w:t>№</w:t>
      </w:r>
      <w:r w:rsidRPr="00A6277D">
        <w:rPr>
          <w:rFonts w:ascii="Times New Roman" w:hAnsi="Times New Roman" w:cs="Times New Roman"/>
        </w:rPr>
        <w:t xml:space="preserve">N 127-ФЗ </w:t>
      </w:r>
      <w:r>
        <w:rPr>
          <w:rFonts w:ascii="Times New Roman" w:hAnsi="Times New Roman" w:cs="Times New Roman"/>
        </w:rPr>
        <w:t>«</w:t>
      </w:r>
      <w:r w:rsidRPr="00A6277D">
        <w:rPr>
          <w:rFonts w:ascii="Times New Roman" w:hAnsi="Times New Roman" w:cs="Times New Roman"/>
        </w:rPr>
        <w:t>О мерах воздействия (противодействия) на недружественные действия Соединенных Штатов Америки и иных иностранных государств</w:t>
      </w:r>
      <w:r>
        <w:rPr>
          <w:rFonts w:ascii="Times New Roman" w:hAnsi="Times New Roman" w:cs="Times New Roman"/>
        </w:rPr>
        <w:t>»</w:t>
      </w:r>
      <w:r w:rsidRPr="00A6277D">
        <w:rPr>
          <w:rFonts w:ascii="Times New Roman" w:hAnsi="Times New Roman" w:cs="Times New Roman"/>
        </w:rPr>
        <w:t>.</w:t>
      </w:r>
    </w:p>
    <w:p w:rsidR="00D2164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164D" w:rsidRPr="00A6277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A3E6A">
        <w:rPr>
          <w:rFonts w:ascii="Times New Roman" w:hAnsi="Times New Roman" w:cs="Times New Roman"/>
          <w:b/>
          <w:bCs/>
        </w:rPr>
        <w:t>6.</w:t>
      </w:r>
      <w:r w:rsidRPr="00A6277D">
        <w:rPr>
          <w:rFonts w:ascii="Times New Roman" w:hAnsi="Times New Roman" w:cs="Times New Roman"/>
        </w:rPr>
        <w:t xml:space="preserve"> Выплата денежных средств в пользу акционеров, предъявивших требования о выкупе акций, осуществляется:</w:t>
      </w:r>
    </w:p>
    <w:p w:rsidR="00D2164D" w:rsidRPr="00A6277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 xml:space="preserve">- лицам, зарегистрированным в реестре акционеров Общества - путем их перечисления на банковские счета, реквизиты которых имеются у регистратора Общества. Обязанность Общества считается исполненной с даты поступления денежных средств в кредитную организацию, в которой открыт банковский счет лица, имеющего право на получение таких выплат, а в случае, если таким лицом является кредитная организация, - на ее счет. При отсутствии информации о реквизитах банковского счета или невозможности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 (г. Санкт-Петербург). Сведения о нотариусе, принимающим указанные денежные средства на депозит, предоставляются Обществом после подведения итогов предъявления требований о выкупе акций. </w:t>
      </w:r>
    </w:p>
    <w:p w:rsidR="00D2164D" w:rsidRPr="00A6277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>- лицам, не зарегистрированным в реестре акционеров Общества - путем их перечисления на банковский счет номинального держателя акций, зарегистрированного в реестре акционеров Общества. Обязанность общества считается исполненной с даты поступления денежных средств в кредитную организацию, в которой открыт банковский счет такого номинального держателя, а в случае, если номинальным держателем является кредитная организация, - на ее счет.</w:t>
      </w:r>
    </w:p>
    <w:p w:rsidR="00D2164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277D">
        <w:rPr>
          <w:rFonts w:ascii="Times New Roman" w:hAnsi="Times New Roman" w:cs="Times New Roman"/>
        </w:rPr>
        <w:t>Списание акций со счетов акционеров, предъявивших требования о выкупе, осуществляется реестродержателем после оплаты Обществом выкупаемых акций. Акции, выкупленные обществом, поступают в его распоряжение.</w:t>
      </w:r>
    </w:p>
    <w:p w:rsidR="00D2164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Учитывая установленный ФЗ «Об АО» порядок выплаты денежных средств, акционерам Общества надлежит обеспечить наличие актуальных данных об акционере в реестре владельцев ценных бумаг,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о банковских реквизитах акционера для перечисления доходов по ценным бумагам.</w:t>
      </w:r>
    </w:p>
    <w:p w:rsidR="00D2164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2164D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45642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Порядок налогообложения доходов акционеров-физических лиц, получаемых в связи с предъявлением требования о выкупе акций.</w:t>
      </w:r>
    </w:p>
    <w:p w:rsidR="00D2164D" w:rsidRPr="00253196" w:rsidRDefault="00D2164D" w:rsidP="00D2164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53196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253196">
        <w:rPr>
          <w:rFonts w:ascii="Times New Roman" w:hAnsi="Times New Roman" w:cs="Times New Roman"/>
        </w:rPr>
        <w:t>абз</w:t>
      </w:r>
      <w:proofErr w:type="spellEnd"/>
      <w:r w:rsidRPr="00253196">
        <w:rPr>
          <w:rFonts w:ascii="Times New Roman" w:hAnsi="Times New Roman" w:cs="Times New Roman"/>
        </w:rPr>
        <w:t>. 3 п. 1 ст. 226 Налогового кодекса РФ</w:t>
      </w:r>
      <w:r w:rsidRPr="00BB70A1">
        <w:rPr>
          <w:rFonts w:ascii="Times New Roman" w:hAnsi="Times New Roman" w:cs="Times New Roman"/>
        </w:rPr>
        <w:t xml:space="preserve"> </w:t>
      </w:r>
      <w:r w:rsidRPr="00253196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>осуществлении АО «</w:t>
      </w:r>
      <w:proofErr w:type="gramStart"/>
      <w:r>
        <w:rPr>
          <w:rFonts w:ascii="Times New Roman" w:hAnsi="Times New Roman" w:cs="Times New Roman"/>
        </w:rPr>
        <w:t>Центргаз»  выкупа</w:t>
      </w:r>
      <w:proofErr w:type="gramEnd"/>
      <w:r w:rsidRPr="00253196">
        <w:rPr>
          <w:rFonts w:ascii="Times New Roman" w:hAnsi="Times New Roman" w:cs="Times New Roman"/>
        </w:rPr>
        <w:t xml:space="preserve"> акций у акционеров – физических лиц (далее – акционеры или акционер) </w:t>
      </w:r>
      <w:r>
        <w:rPr>
          <w:rFonts w:ascii="Times New Roman" w:hAnsi="Times New Roman" w:cs="Times New Roman"/>
        </w:rPr>
        <w:br/>
        <w:t>в соответствии с предъявленными требованиями о выкупе акций акционеров, АО «Центргаз»</w:t>
      </w:r>
      <w:r w:rsidRPr="00253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признается налоговым агентом по налогу на доходы физических лиц (далее – </w:t>
      </w:r>
      <w:r w:rsidRPr="00253196">
        <w:rPr>
          <w:rFonts w:ascii="Times New Roman" w:hAnsi="Times New Roman" w:cs="Times New Roman"/>
        </w:rPr>
        <w:t>НДФЛ</w:t>
      </w:r>
      <w:r>
        <w:rPr>
          <w:rFonts w:ascii="Times New Roman" w:hAnsi="Times New Roman" w:cs="Times New Roman"/>
        </w:rPr>
        <w:t>)</w:t>
      </w:r>
      <w:r w:rsidRPr="002531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253196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о</w:t>
      </w:r>
      <w:r w:rsidRPr="00253196">
        <w:rPr>
          <w:rFonts w:ascii="Times New Roman" w:hAnsi="Times New Roman" w:cs="Times New Roman"/>
        </w:rPr>
        <w:t xml:space="preserve"> исчислить сумму</w:t>
      </w:r>
      <w:r>
        <w:rPr>
          <w:rFonts w:ascii="Times New Roman" w:hAnsi="Times New Roman" w:cs="Times New Roman"/>
        </w:rPr>
        <w:t xml:space="preserve"> НДФЛ </w:t>
      </w:r>
      <w:r w:rsidRPr="00253196">
        <w:rPr>
          <w:rFonts w:ascii="Times New Roman" w:hAnsi="Times New Roman" w:cs="Times New Roman"/>
        </w:rPr>
        <w:t>с дохода акционера</w:t>
      </w:r>
      <w:r>
        <w:rPr>
          <w:rFonts w:ascii="Times New Roman" w:hAnsi="Times New Roman" w:cs="Times New Roman"/>
        </w:rPr>
        <w:t>, удержав</w:t>
      </w:r>
      <w:r w:rsidRPr="00253196">
        <w:rPr>
          <w:rFonts w:ascii="Times New Roman" w:hAnsi="Times New Roman" w:cs="Times New Roman"/>
        </w:rPr>
        <w:t xml:space="preserve"> ее из подлежащей выплате акционеру </w:t>
      </w:r>
      <w:r>
        <w:rPr>
          <w:rFonts w:ascii="Times New Roman" w:hAnsi="Times New Roman" w:cs="Times New Roman"/>
        </w:rPr>
        <w:t>выкупной</w:t>
      </w:r>
      <w:r w:rsidRPr="00253196">
        <w:rPr>
          <w:rFonts w:ascii="Times New Roman" w:hAnsi="Times New Roman" w:cs="Times New Roman"/>
        </w:rPr>
        <w:t xml:space="preserve"> цены акций </w:t>
      </w:r>
      <w:r>
        <w:rPr>
          <w:rFonts w:ascii="Times New Roman" w:hAnsi="Times New Roman" w:cs="Times New Roman"/>
        </w:rPr>
        <w:t>для перечисления</w:t>
      </w:r>
      <w:r w:rsidRPr="00253196">
        <w:rPr>
          <w:rFonts w:ascii="Times New Roman" w:hAnsi="Times New Roman" w:cs="Times New Roman"/>
        </w:rPr>
        <w:t xml:space="preserve"> в бюджет РФ</w:t>
      </w:r>
      <w:r>
        <w:rPr>
          <w:rFonts w:ascii="Times New Roman" w:hAnsi="Times New Roman" w:cs="Times New Roman"/>
        </w:rPr>
        <w:t xml:space="preserve"> </w:t>
      </w:r>
      <w:r w:rsidRPr="000B7B91">
        <w:rPr>
          <w:rFonts w:ascii="Times New Roman" w:hAnsi="Times New Roman" w:cs="Times New Roman"/>
        </w:rPr>
        <w:t>(п. 4 ст. 226 НК РФ)</w:t>
      </w:r>
      <w:r>
        <w:rPr>
          <w:rFonts w:ascii="Times New Roman" w:hAnsi="Times New Roman" w:cs="Times New Roman"/>
        </w:rPr>
        <w:t>.</w:t>
      </w:r>
    </w:p>
    <w:p w:rsidR="00D2164D" w:rsidRPr="000B7B91" w:rsidRDefault="00D2164D" w:rsidP="00D2164D">
      <w:pPr>
        <w:ind w:firstLine="708"/>
        <w:jc w:val="both"/>
        <w:rPr>
          <w:rFonts w:ascii="Times New Roman" w:hAnsi="Times New Roman" w:cs="Times New Roman"/>
        </w:rPr>
      </w:pPr>
      <w:r w:rsidRPr="000B7B91">
        <w:rPr>
          <w:rFonts w:ascii="Times New Roman" w:hAnsi="Times New Roman" w:cs="Times New Roman"/>
        </w:rPr>
        <w:t>Сумма НДФЛ перечисляется в бюджет не позднее дня, следующего за днем выплаты перечисления денежных средств, направляемых АО «Центргаз» в оплату выкупаемых акций (п. 6 ст. 226 НК РФ).</w:t>
      </w:r>
    </w:p>
    <w:p w:rsidR="00D2164D" w:rsidRDefault="00D2164D" w:rsidP="00D2164D">
      <w:pPr>
        <w:ind w:firstLine="708"/>
        <w:jc w:val="both"/>
        <w:rPr>
          <w:rFonts w:ascii="Times New Roman" w:hAnsi="Times New Roman" w:cs="Times New Roman"/>
        </w:rPr>
      </w:pPr>
      <w:r w:rsidRPr="00645642">
        <w:rPr>
          <w:rFonts w:ascii="Times New Roman" w:hAnsi="Times New Roman" w:cs="Times New Roman"/>
          <w:b/>
          <w:bCs/>
        </w:rPr>
        <w:t>7.1.</w:t>
      </w:r>
      <w:r>
        <w:rPr>
          <w:rFonts w:ascii="Times New Roman" w:hAnsi="Times New Roman" w:cs="Times New Roman"/>
        </w:rPr>
        <w:t xml:space="preserve"> </w:t>
      </w:r>
      <w:r w:rsidRPr="000B7B91">
        <w:rPr>
          <w:rFonts w:ascii="Times New Roman" w:hAnsi="Times New Roman" w:cs="Times New Roman"/>
        </w:rPr>
        <w:t>АО «Центргаз» при выполнении функции налогового агента будет учитывать при расчете подлежащего удержанию и уплате НДФЛ фактически осуществленные и документально подтвержденные расходы</w:t>
      </w:r>
      <w:r>
        <w:rPr>
          <w:rFonts w:ascii="Times New Roman" w:hAnsi="Times New Roman" w:cs="Times New Roman"/>
        </w:rPr>
        <w:t xml:space="preserve"> акционера</w:t>
      </w:r>
      <w:r w:rsidRPr="000B7B91">
        <w:rPr>
          <w:rFonts w:ascii="Times New Roman" w:hAnsi="Times New Roman" w:cs="Times New Roman"/>
        </w:rPr>
        <w:t xml:space="preserve">, которые связаны с приобретением и хранением соответствующих </w:t>
      </w:r>
      <w:r>
        <w:rPr>
          <w:rFonts w:ascii="Times New Roman" w:hAnsi="Times New Roman" w:cs="Times New Roman"/>
        </w:rPr>
        <w:t>а</w:t>
      </w:r>
      <w:r w:rsidRPr="000B7B91">
        <w:rPr>
          <w:rFonts w:ascii="Times New Roman" w:hAnsi="Times New Roman" w:cs="Times New Roman"/>
        </w:rPr>
        <w:t>кций и которые налогоплательщик произвел без участия налогового агента (п. 1 ст. 226 НК РФ).</w:t>
      </w:r>
      <w:r>
        <w:rPr>
          <w:rFonts w:ascii="Times New Roman" w:hAnsi="Times New Roman" w:cs="Times New Roman"/>
        </w:rPr>
        <w:t xml:space="preserve"> Документами, подтверждающими указанные расходы налогоплательщика, являются:</w:t>
      </w:r>
    </w:p>
    <w:p w:rsidR="00D2164D" w:rsidRPr="00645642" w:rsidRDefault="00D2164D" w:rsidP="00D2164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45642">
        <w:rPr>
          <w:rFonts w:ascii="Times New Roman" w:hAnsi="Times New Roman" w:cs="Times New Roman"/>
        </w:rPr>
        <w:t>документы, на основании которых акционер произвел соответствующие расходы (договоры о приобретении ценных бумаг, иные документы, подтверждающие факт приобретения акционером ценных бумаг);</w:t>
      </w:r>
    </w:p>
    <w:p w:rsidR="00D2164D" w:rsidRPr="00645642" w:rsidRDefault="00D2164D" w:rsidP="00D2164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45642">
        <w:rPr>
          <w:rFonts w:ascii="Times New Roman" w:hAnsi="Times New Roman" w:cs="Times New Roman"/>
        </w:rPr>
        <w:t>документы, подтверждающие факт перехода права собственности акционера на ценные бумаги (выписка по счету депо акционера в депозитарии, отчет, а также иные документы);</w:t>
      </w:r>
    </w:p>
    <w:p w:rsidR="00D2164D" w:rsidRPr="00645642" w:rsidRDefault="00D2164D" w:rsidP="00D2164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45642">
        <w:rPr>
          <w:rFonts w:ascii="Times New Roman" w:hAnsi="Times New Roman" w:cs="Times New Roman"/>
        </w:rPr>
        <w:t xml:space="preserve">документы, подтверждающие факт и сумму оплаты соответствующих расходов (расписки продавца в получении денежных средств, иные документы, подтверждающие факт и сумму расходов </w:t>
      </w:r>
      <w:r w:rsidRPr="00645642">
        <w:rPr>
          <w:rFonts w:ascii="Times New Roman" w:hAnsi="Times New Roman" w:cs="Times New Roman"/>
        </w:rPr>
        <w:lastRenderedPageBreak/>
        <w:t>акционера на покупку ценных бумаг, приходный кассовый ордер, платежное поручение с отметками кредитной организации о приеме к исполнению), содержащие указание на реквизиты сделки купли-продажи ценных бумаг;</w:t>
      </w:r>
    </w:p>
    <w:p w:rsidR="00D2164D" w:rsidRPr="00645642" w:rsidRDefault="00D2164D" w:rsidP="00D2164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645642">
        <w:rPr>
          <w:rFonts w:ascii="Times New Roman" w:hAnsi="Times New Roman" w:cs="Times New Roman"/>
        </w:rPr>
        <w:t>иные документы, подтверждающие вышеуказанные расходы акционера.</w:t>
      </w:r>
    </w:p>
    <w:p w:rsidR="00D2164D" w:rsidRDefault="00D2164D" w:rsidP="00D2164D">
      <w:pPr>
        <w:ind w:firstLine="708"/>
        <w:jc w:val="both"/>
        <w:rPr>
          <w:rFonts w:ascii="Times New Roman" w:hAnsi="Times New Roman" w:cs="Times New Roman"/>
        </w:rPr>
      </w:pPr>
      <w:r w:rsidRPr="00645642">
        <w:rPr>
          <w:rFonts w:ascii="Times New Roman" w:hAnsi="Times New Roman" w:cs="Times New Roman"/>
          <w:b/>
          <w:bCs/>
        </w:rPr>
        <w:t>7.2.</w:t>
      </w:r>
      <w:r>
        <w:rPr>
          <w:rFonts w:ascii="Times New Roman" w:hAnsi="Times New Roman" w:cs="Times New Roman"/>
        </w:rPr>
        <w:t xml:space="preserve"> </w:t>
      </w:r>
      <w:r w:rsidRPr="000B7B91">
        <w:rPr>
          <w:rFonts w:ascii="Times New Roman" w:hAnsi="Times New Roman" w:cs="Times New Roman"/>
        </w:rPr>
        <w:t>Налоговое законодательство</w:t>
      </w:r>
      <w:r>
        <w:rPr>
          <w:rFonts w:ascii="Times New Roman" w:hAnsi="Times New Roman" w:cs="Times New Roman"/>
        </w:rPr>
        <w:t xml:space="preserve"> также</w:t>
      </w:r>
      <w:r w:rsidRPr="000B7B91">
        <w:rPr>
          <w:rFonts w:ascii="Times New Roman" w:hAnsi="Times New Roman" w:cs="Times New Roman"/>
        </w:rPr>
        <w:t xml:space="preserve"> предусматривает освобождение от обложения НДФЛ дохода, полученного </w:t>
      </w:r>
      <w:r>
        <w:rPr>
          <w:rFonts w:ascii="Times New Roman" w:hAnsi="Times New Roman" w:cs="Times New Roman"/>
        </w:rPr>
        <w:t>физических лицом</w:t>
      </w:r>
      <w:r w:rsidRPr="000B7B91">
        <w:rPr>
          <w:rFonts w:ascii="Times New Roman" w:hAnsi="Times New Roman" w:cs="Times New Roman"/>
        </w:rPr>
        <w:t xml:space="preserve"> от реализации акций российских организаций, не более 50% активов которых прямо или косвенно состоит из недвижимого имущества, находящегося на территории РФ, при условии, что на дату реализации таких акций они непрерывно принадлежали </w:t>
      </w:r>
      <w:r>
        <w:rPr>
          <w:rFonts w:ascii="Times New Roman" w:hAnsi="Times New Roman" w:cs="Times New Roman"/>
        </w:rPr>
        <w:t>физического лица</w:t>
      </w:r>
      <w:r w:rsidRPr="000B7B91">
        <w:rPr>
          <w:rFonts w:ascii="Times New Roman" w:hAnsi="Times New Roman" w:cs="Times New Roman"/>
        </w:rPr>
        <w:t xml:space="preserve"> на праве собственности или ином вещном праве более 5 лет (п. 17.2 ст. 217 НК РФ)</w:t>
      </w:r>
      <w:r>
        <w:rPr>
          <w:rFonts w:ascii="Times New Roman" w:hAnsi="Times New Roman" w:cs="Times New Roman"/>
        </w:rPr>
        <w:t xml:space="preserve">. </w:t>
      </w:r>
      <w:r w:rsidRPr="000B7B91">
        <w:rPr>
          <w:rFonts w:ascii="Times New Roman" w:hAnsi="Times New Roman" w:cs="Times New Roman"/>
        </w:rPr>
        <w:t xml:space="preserve">Указанное освобождение применяется вне зависимости от статуса налогового </w:t>
      </w:r>
      <w:proofErr w:type="spellStart"/>
      <w:r w:rsidRPr="000B7B91">
        <w:rPr>
          <w:rFonts w:ascii="Times New Roman" w:hAnsi="Times New Roman" w:cs="Times New Roman"/>
        </w:rPr>
        <w:t>резидентства</w:t>
      </w:r>
      <w:proofErr w:type="spellEnd"/>
      <w:r w:rsidRPr="000B7B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Документами, подтверждающими срок непрерывного владения на праве собственности о</w:t>
      </w:r>
      <w:r w:rsidRPr="00262740">
        <w:rPr>
          <w:rFonts w:ascii="Times New Roman" w:hAnsi="Times New Roman" w:cs="Times New Roman"/>
        </w:rPr>
        <w:t>тчет или справка об операциях, совершенных по лицевому счету за период 5 лет, полученные у Регистратора / Депозитария и подтверждающие срок владения акциями</w:t>
      </w:r>
      <w:r>
        <w:rPr>
          <w:rFonts w:ascii="Times New Roman" w:hAnsi="Times New Roman" w:cs="Times New Roman"/>
        </w:rPr>
        <w:t>.</w:t>
      </w:r>
    </w:p>
    <w:p w:rsidR="00D2164D" w:rsidRDefault="00D2164D" w:rsidP="00D2164D">
      <w:pPr>
        <w:ind w:firstLine="708"/>
        <w:jc w:val="both"/>
        <w:rPr>
          <w:rFonts w:ascii="Times New Roman" w:hAnsi="Times New Roman" w:cs="Times New Roman"/>
        </w:rPr>
      </w:pPr>
      <w:r w:rsidRPr="00645642">
        <w:rPr>
          <w:rFonts w:ascii="Times New Roman" w:hAnsi="Times New Roman" w:cs="Times New Roman"/>
          <w:b/>
          <w:bCs/>
        </w:rPr>
        <w:t>7.3.</w:t>
      </w:r>
      <w:r>
        <w:rPr>
          <w:rFonts w:ascii="Times New Roman" w:hAnsi="Times New Roman" w:cs="Times New Roman"/>
        </w:rPr>
        <w:t xml:space="preserve"> Налоговый агент определяет сумму подлежащего</w:t>
      </w:r>
      <w:r w:rsidRPr="00262740">
        <w:rPr>
          <w:rFonts w:ascii="Times New Roman" w:hAnsi="Times New Roman" w:cs="Times New Roman"/>
        </w:rPr>
        <w:t xml:space="preserve"> удержанию и уплате НДФЛ</w:t>
      </w:r>
      <w:r>
        <w:rPr>
          <w:rFonts w:ascii="Times New Roman" w:hAnsi="Times New Roman" w:cs="Times New Roman"/>
        </w:rPr>
        <w:t xml:space="preserve"> в отношении каждого акционера, предъявившего требование о выкупе акций, с учетом представленных заявлений от акционеров:</w:t>
      </w:r>
    </w:p>
    <w:p w:rsidR="00D2164D" w:rsidRPr="00645642" w:rsidRDefault="00D2164D" w:rsidP="00D216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5642">
        <w:rPr>
          <w:rFonts w:ascii="Times New Roman" w:hAnsi="Times New Roman" w:cs="Times New Roman"/>
        </w:rPr>
        <w:t xml:space="preserve">на уменьшение облагаемого НДФЛ дохода на расходы по ценным бумагам и подтверждении налогового </w:t>
      </w:r>
      <w:proofErr w:type="spellStart"/>
      <w:r w:rsidRPr="00645642">
        <w:rPr>
          <w:rFonts w:ascii="Times New Roman" w:hAnsi="Times New Roman" w:cs="Times New Roman"/>
        </w:rPr>
        <w:t>резидентства</w:t>
      </w:r>
      <w:proofErr w:type="spellEnd"/>
      <w:r w:rsidRPr="00645642">
        <w:rPr>
          <w:rFonts w:ascii="Times New Roman" w:hAnsi="Times New Roman" w:cs="Times New Roman"/>
        </w:rPr>
        <w:t xml:space="preserve">, с приложением перечисленных в п. 7.1. надлежащим образом заверенных документов; </w:t>
      </w:r>
    </w:p>
    <w:p w:rsidR="00D2164D" w:rsidRPr="00645642" w:rsidRDefault="00D2164D" w:rsidP="00D216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45642">
        <w:rPr>
          <w:rFonts w:ascii="Times New Roman" w:hAnsi="Times New Roman" w:cs="Times New Roman"/>
        </w:rPr>
        <w:t>на освобождение от обложения НФДЛ расходов в случае, с приложением перечисленных в п. 7.2. документов.</w:t>
      </w:r>
    </w:p>
    <w:p w:rsidR="00D2164D" w:rsidRDefault="00D2164D" w:rsidP="00D21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Указанные заявления, а также подтверждающие документы, могут быть представлены акционерами одновременно с требованием о выкупе акций в порядке, указанном в п. 1 уведомления.</w:t>
      </w:r>
    </w:p>
    <w:p w:rsidR="00D2164D" w:rsidRPr="00262740" w:rsidRDefault="00D2164D" w:rsidP="00D21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Образцы заявлений и дополнительная информация о порядке расчета НДФЛ, применяемых ставках, а также представляемых документах подлежат размещению </w:t>
      </w:r>
      <w:r w:rsidRPr="000858FB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разделе</w:t>
      </w:r>
      <w:r w:rsidRPr="000858FB">
        <w:rPr>
          <w:rFonts w:ascii="Times New Roman" w:hAnsi="Times New Roman" w:cs="Times New Roman"/>
        </w:rPr>
        <w:t xml:space="preserve"> веб-сайт</w:t>
      </w:r>
      <w:r>
        <w:rPr>
          <w:rFonts w:ascii="Times New Roman" w:hAnsi="Times New Roman" w:cs="Times New Roman"/>
        </w:rPr>
        <w:t>а</w:t>
      </w:r>
      <w:r w:rsidRPr="000858FB">
        <w:rPr>
          <w:rFonts w:ascii="Times New Roman" w:hAnsi="Times New Roman" w:cs="Times New Roman"/>
        </w:rPr>
        <w:t xml:space="preserve"> Общества </w:t>
      </w:r>
      <w:r>
        <w:rPr>
          <w:rFonts w:ascii="Times New Roman" w:hAnsi="Times New Roman" w:cs="Times New Roman"/>
        </w:rPr>
        <w:t xml:space="preserve">для акционеров </w:t>
      </w:r>
      <w:r w:rsidRPr="000858FB">
        <w:rPr>
          <w:rFonts w:ascii="Times New Roman" w:hAnsi="Times New Roman" w:cs="Times New Roman"/>
        </w:rPr>
        <w:t xml:space="preserve">в сети Интернет по адресу: </w:t>
      </w:r>
      <w:hyperlink r:id="rId8" w:history="1">
        <w:r w:rsidRPr="00F2390E">
          <w:rPr>
            <w:rStyle w:val="a4"/>
            <w:rFonts w:ascii="Times New Roman" w:hAnsi="Times New Roman" w:cs="Times New Roman"/>
          </w:rPr>
          <w:t>www.centrgaz-gazprom.ru</w:t>
        </w:r>
      </w:hyperlink>
      <w:r>
        <w:rPr>
          <w:rFonts w:ascii="Times New Roman" w:hAnsi="Times New Roman" w:cs="Times New Roman"/>
        </w:rPr>
        <w:t xml:space="preserve">, не позднее даты проведения внеочередного Общего собрания акционеров. </w:t>
      </w:r>
    </w:p>
    <w:p w:rsidR="00D2164D" w:rsidRPr="000858FB" w:rsidRDefault="00D2164D" w:rsidP="00D2164D">
      <w:pPr>
        <w:jc w:val="both"/>
        <w:rPr>
          <w:rFonts w:ascii="Times New Roman" w:hAnsi="Times New Roman" w:cs="Times New Roman"/>
        </w:rPr>
      </w:pPr>
      <w:r w:rsidRPr="000858FB">
        <w:rPr>
          <w:rFonts w:ascii="Times New Roman" w:hAnsi="Times New Roman" w:cs="Times New Roman"/>
        </w:rPr>
        <w:t xml:space="preserve">При </w:t>
      </w:r>
      <w:proofErr w:type="spellStart"/>
      <w:r w:rsidRPr="000858FB">
        <w:rPr>
          <w:rFonts w:ascii="Times New Roman" w:hAnsi="Times New Roman" w:cs="Times New Roman"/>
        </w:rPr>
        <w:t>непредоставлении</w:t>
      </w:r>
      <w:proofErr w:type="spellEnd"/>
      <w:r w:rsidRPr="000858FB">
        <w:rPr>
          <w:rFonts w:ascii="Times New Roman" w:hAnsi="Times New Roman" w:cs="Times New Roman"/>
        </w:rPr>
        <w:t xml:space="preserve"> документов, подтверждающих расходы</w:t>
      </w:r>
      <w:r>
        <w:rPr>
          <w:rFonts w:ascii="Times New Roman" w:hAnsi="Times New Roman" w:cs="Times New Roman"/>
        </w:rPr>
        <w:t xml:space="preserve"> акционера</w:t>
      </w:r>
      <w:r w:rsidRPr="000858F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либо право на освобождение от налогообложения,</w:t>
      </w:r>
      <w:r w:rsidRPr="000858FB">
        <w:rPr>
          <w:rFonts w:ascii="Times New Roman" w:hAnsi="Times New Roman" w:cs="Times New Roman"/>
        </w:rPr>
        <w:t xml:space="preserve"> НДФЛ удерживается со всего дохода акционера от продажи акций.</w:t>
      </w:r>
    </w:p>
    <w:p w:rsidR="00D2164D" w:rsidRPr="00A24E18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E18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</w:rPr>
        <w:t xml:space="preserve"> </w:t>
      </w:r>
      <w:r w:rsidRPr="00A24E18">
        <w:rPr>
          <w:rFonts w:ascii="Times New Roman" w:hAnsi="Times New Roman" w:cs="Times New Roman"/>
        </w:rPr>
        <w:t xml:space="preserve">В соответствии с требованиями п.5 ст.44 Федерального закона от 26.12.1995  № 208-ФЗ «Об акционерных обществах» и п.1 ст.7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своевременно, но не реже 1 раза в год обновлять информацию о себе, своих представителях, а также </w:t>
      </w:r>
      <w:proofErr w:type="spellStart"/>
      <w:r w:rsidRPr="00A24E18">
        <w:rPr>
          <w:rFonts w:ascii="Times New Roman" w:hAnsi="Times New Roman" w:cs="Times New Roman"/>
        </w:rPr>
        <w:t>бенефициарных</w:t>
      </w:r>
      <w:proofErr w:type="spellEnd"/>
      <w:r w:rsidRPr="00A24E18">
        <w:rPr>
          <w:rFonts w:ascii="Times New Roman" w:hAnsi="Times New Roman" w:cs="Times New Roman"/>
        </w:rPr>
        <w:t xml:space="preserve"> владельцах и выгодоприобретателях (для физических лиц: Ф.И.О., паспортные данные, адрес места регистрации согласно паспортным данным; для юридических лиц: наименование и место нахождения согласно данным ЕГРЮЛ, ОГРН, ИНН,  Ф.И.О. руководителя).  </w:t>
      </w:r>
    </w:p>
    <w:p w:rsidR="00D2164D" w:rsidRPr="00A24E18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E18">
        <w:rPr>
          <w:rFonts w:ascii="Times New Roman" w:hAnsi="Times New Roman" w:cs="Times New Roman"/>
        </w:rPr>
        <w:t xml:space="preserve">Для сверки/обновления своих идентификационных данных Вам необходимо обратиться по месту учета </w:t>
      </w:r>
      <w:r>
        <w:rPr>
          <w:rFonts w:ascii="Times New Roman" w:hAnsi="Times New Roman" w:cs="Times New Roman"/>
        </w:rPr>
        <w:t>акций</w:t>
      </w:r>
      <w:r w:rsidRPr="00A24E18">
        <w:rPr>
          <w:rFonts w:ascii="Times New Roman" w:hAnsi="Times New Roman" w:cs="Times New Roman"/>
        </w:rPr>
        <w:t xml:space="preserve">. </w:t>
      </w:r>
    </w:p>
    <w:p w:rsidR="00D2164D" w:rsidRPr="00A6277D" w:rsidRDefault="00D2164D" w:rsidP="00D216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4E18">
        <w:rPr>
          <w:rFonts w:ascii="Times New Roman" w:hAnsi="Times New Roman" w:cs="Times New Roman"/>
        </w:rPr>
        <w:t>При обращении к Регистратору обновление информации осуществляется на основании вновь заполненных Анкет и Опросных листов, оформленных в соответствии с требованиями законодательства и внутренних Правил регистратора. Правила регистратора и бланки документов размещены на сайте Регистратора www.draga.ru.</w:t>
      </w:r>
    </w:p>
    <w:p w:rsidR="008A1ED6" w:rsidRDefault="008A1ED6"/>
    <w:sectPr w:rsidR="008A1ED6" w:rsidSect="00D60480">
      <w:pgSz w:w="11909" w:h="16834"/>
      <w:pgMar w:top="360" w:right="689" w:bottom="851" w:left="1134" w:header="294" w:footer="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22919"/>
    <w:multiLevelType w:val="hybridMultilevel"/>
    <w:tmpl w:val="E0A263FE"/>
    <w:lvl w:ilvl="0" w:tplc="77FC8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E7B0A"/>
    <w:multiLevelType w:val="hybridMultilevel"/>
    <w:tmpl w:val="210A0896"/>
    <w:lvl w:ilvl="0" w:tplc="77FC8B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1B1B1B"/>
    <w:multiLevelType w:val="hybridMultilevel"/>
    <w:tmpl w:val="3EEAEBCA"/>
    <w:lvl w:ilvl="0" w:tplc="77FC8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577AE1"/>
    <w:multiLevelType w:val="hybridMultilevel"/>
    <w:tmpl w:val="9D4C134A"/>
    <w:lvl w:ilvl="0" w:tplc="77FC8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4D"/>
    <w:rsid w:val="008A1ED6"/>
    <w:rsid w:val="00B119CD"/>
    <w:rsid w:val="00C7253B"/>
    <w:rsid w:val="00D2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C1F6A-BC16-4B91-85E7-177FA81A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64D"/>
    <w:pPr>
      <w:ind w:left="720"/>
      <w:contextualSpacing/>
    </w:pPr>
  </w:style>
  <w:style w:type="character" w:styleId="a4">
    <w:name w:val="Hyperlink"/>
    <w:uiPriority w:val="99"/>
    <w:unhideWhenUsed/>
    <w:rsid w:val="00D2164D"/>
    <w:rPr>
      <w:color w:val="0000FF"/>
      <w:u w:val="single"/>
    </w:rPr>
  </w:style>
  <w:style w:type="table" w:styleId="a5">
    <w:name w:val="Table Grid"/>
    <w:basedOn w:val="a1"/>
    <w:uiPriority w:val="39"/>
    <w:rsid w:val="00D2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gaz-gazpr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aga.ru/kontakty/obsluzhivanie-v-region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aga.ru/kontakty/obsluzhivanie-v-regionah" TargetMode="External"/><Relationship Id="rId5" Type="http://schemas.openxmlformats.org/officeDocument/2006/relationships/hyperlink" Target="http://www.centrgaz-gazprom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Н.В.</dc:creator>
  <cp:keywords/>
  <dc:description/>
  <cp:lastModifiedBy>Смирнова Н.В.</cp:lastModifiedBy>
  <cp:revision>3</cp:revision>
  <dcterms:created xsi:type="dcterms:W3CDTF">2022-09-20T11:38:00Z</dcterms:created>
  <dcterms:modified xsi:type="dcterms:W3CDTF">2022-09-20T12:40:00Z</dcterms:modified>
</cp:coreProperties>
</file>